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C4" w:rsidRPr="005136C4" w:rsidRDefault="005136C4" w:rsidP="005136C4">
      <w:pPr>
        <w:pStyle w:val="Naslov1"/>
      </w:pPr>
      <w:r w:rsidRPr="005136C4">
        <w:t>Pojasnilo glede varnosti spletnih obrazcev Komisije za preprečevanje korupcije</w:t>
      </w:r>
    </w:p>
    <w:p w:rsidR="005136C4" w:rsidRDefault="005136C4" w:rsidP="005136C4">
      <w:r w:rsidRPr="005136C4">
        <w:t>Po noveli Zakona o integriteti in prep</w:t>
      </w:r>
      <w:r>
        <w:t>rečevanju korupcije iz leta 2020</w:t>
      </w:r>
      <w:r w:rsidRPr="005136C4">
        <w:t xml:space="preserve"> morajo zavezanci podatke o premoženjskem stanju, omejitvah poslovanja in sezname zavezancev komisiji posredovati prek elektronskega obrazca, dostopnega na spletnih straneh komisije. </w:t>
      </w:r>
      <w:r>
        <w:t xml:space="preserve">Zavezanci podatke oddajo prek </w:t>
      </w:r>
    </w:p>
    <w:p w:rsidR="005136C4" w:rsidRDefault="005136C4" w:rsidP="005136C4">
      <w:pPr>
        <w:pStyle w:val="Odstavekseznama"/>
        <w:numPr>
          <w:ilvl w:val="0"/>
          <w:numId w:val="2"/>
        </w:numPr>
      </w:pPr>
      <w:r>
        <w:t xml:space="preserve">portala </w:t>
      </w:r>
      <w:proofErr w:type="spellStart"/>
      <w:r>
        <w:t>eUprava</w:t>
      </w:r>
      <w:proofErr w:type="spellEnd"/>
      <w:r>
        <w:t xml:space="preserve"> za </w:t>
      </w:r>
      <w:hyperlink r:id="rId9" w:history="1">
        <w:r w:rsidRPr="005136C4">
          <w:rPr>
            <w:rStyle w:val="Hiperpovezava"/>
          </w:rPr>
          <w:t>obrazce premoženjskega stanja</w:t>
        </w:r>
      </w:hyperlink>
      <w:r>
        <w:t xml:space="preserve"> oz.</w:t>
      </w:r>
    </w:p>
    <w:p w:rsidR="005136C4" w:rsidRDefault="005136C4" w:rsidP="005136C4">
      <w:pPr>
        <w:pStyle w:val="Odstavekseznama"/>
        <w:numPr>
          <w:ilvl w:val="0"/>
          <w:numId w:val="2"/>
        </w:numPr>
      </w:pPr>
      <w:r>
        <w:t xml:space="preserve">obrazcev dostopnih pod domeno </w:t>
      </w:r>
      <w:hyperlink r:id="rId10" w:history="1">
        <w:proofErr w:type="spellStart"/>
        <w:r w:rsidRPr="005136C4">
          <w:rPr>
            <w:rStyle w:val="Hiperpovezava"/>
          </w:rPr>
          <w:t>registri.kpk</w:t>
        </w:r>
        <w:proofErr w:type="spellEnd"/>
        <w:r w:rsidRPr="005136C4">
          <w:rPr>
            <w:rStyle w:val="Hiperpovezava"/>
          </w:rPr>
          <w:t>-</w:t>
        </w:r>
        <w:proofErr w:type="spellStart"/>
        <w:r w:rsidRPr="005136C4">
          <w:rPr>
            <w:rStyle w:val="Hiperpovezava"/>
          </w:rPr>
          <w:t>rs.si</w:t>
        </w:r>
        <w:proofErr w:type="spellEnd"/>
      </w:hyperlink>
      <w:r w:rsidR="00736745">
        <w:t>, ki jo upravlja Komisija</w:t>
      </w:r>
      <w:r>
        <w:t>.</w:t>
      </w:r>
    </w:p>
    <w:p w:rsidR="005136C4" w:rsidRDefault="00736745" w:rsidP="005136C4">
      <w:r>
        <w:t>Ker se na K</w:t>
      </w:r>
      <w:r w:rsidR="005136C4" w:rsidRPr="005136C4">
        <w:t>om</w:t>
      </w:r>
      <w:r w:rsidR="00B9219B">
        <w:t>isiji zavedamo problema varovanja</w:t>
      </w:r>
      <w:r w:rsidR="005136C4" w:rsidRPr="005136C4">
        <w:t xml:space="preserve"> osebnih in drugih podatkov, ki se prenašajo prek komunikacijskih om</w:t>
      </w:r>
      <w:r w:rsidR="00B9219B">
        <w:t>režij, zlasti interneta, varovanje</w:t>
      </w:r>
      <w:r w:rsidR="005136C4" w:rsidRPr="005136C4">
        <w:t xml:space="preserve"> podatkov, posredovanih prek spleta</w:t>
      </w:r>
      <w:r w:rsidR="00B9219B">
        <w:t>,</w:t>
      </w:r>
      <w:r w:rsidR="005136C4" w:rsidRPr="005136C4">
        <w:t xml:space="preserve"> zagotavljamo na več nivojih.</w:t>
      </w:r>
    </w:p>
    <w:p w:rsidR="00736745" w:rsidRPr="005136C4" w:rsidRDefault="00736745" w:rsidP="005136C4">
      <w:r>
        <w:t xml:space="preserve">Za varovanje podatkov oddanih prek portala </w:t>
      </w:r>
      <w:proofErr w:type="spellStart"/>
      <w:r>
        <w:t>eUprava</w:t>
      </w:r>
      <w:proofErr w:type="spellEnd"/>
      <w:r>
        <w:t xml:space="preserve"> skrbi Ministrstvo za javno upravo</w:t>
      </w:r>
      <w:r w:rsidR="00D35846">
        <w:t xml:space="preserve"> (za več informacij glej </w:t>
      </w:r>
      <w:hyperlink r:id="rId11" w:history="1">
        <w:r w:rsidR="00D35846" w:rsidRPr="00226A7E">
          <w:rPr>
            <w:rStyle w:val="Hiperpovezava"/>
          </w:rPr>
          <w:t>https://e-uprava.gov.si/o-e-upravi/pogoji-uporabe.html</w:t>
        </w:r>
      </w:hyperlink>
      <w:r w:rsidR="00D35846">
        <w:t>)</w:t>
      </w:r>
      <w:r>
        <w:t xml:space="preserve">. </w:t>
      </w:r>
      <w:bookmarkStart w:id="0" w:name="_GoBack"/>
      <w:bookmarkEnd w:id="0"/>
      <w:r w:rsidR="001E6D52">
        <w:t xml:space="preserve">Varovanje podatkov pod domeno </w:t>
      </w:r>
      <w:proofErr w:type="spellStart"/>
      <w:r w:rsidR="001E6D52">
        <w:t>registri.kpk</w:t>
      </w:r>
      <w:proofErr w:type="spellEnd"/>
      <w:r w:rsidR="001E6D52">
        <w:t>-</w:t>
      </w:r>
      <w:proofErr w:type="spellStart"/>
      <w:r w:rsidR="001E6D52">
        <w:t>rs.si</w:t>
      </w:r>
      <w:proofErr w:type="spellEnd"/>
      <w:r w:rsidR="001E6D52">
        <w:t xml:space="preserve"> je opisano v nadaljevanju.</w:t>
      </w:r>
    </w:p>
    <w:p w:rsidR="005136C4" w:rsidRPr="005136C4" w:rsidRDefault="001E24E6" w:rsidP="00B9219B">
      <w:pPr>
        <w:pStyle w:val="Naslov2"/>
      </w:pPr>
      <w:r>
        <w:t>Šifrirana povezava</w:t>
      </w:r>
    </w:p>
    <w:p w:rsidR="005136C4" w:rsidRPr="005136C4" w:rsidRDefault="005136C4" w:rsidP="005136C4">
      <w:r w:rsidRPr="005136C4">
        <w:t>Spletni obrazci, prek katerih zavezanci komisiji posredujejo podatke, so dostopni samo prek šifrirane</w:t>
      </w:r>
      <w:r w:rsidR="003B2224">
        <w:t xml:space="preserve"> HTTPS</w:t>
      </w:r>
      <w:r w:rsidR="003B2224">
        <w:rPr>
          <w:rStyle w:val="Sprotnaopomba-sklic"/>
        </w:rPr>
        <w:footnoteReference w:id="1"/>
      </w:r>
      <w:r w:rsidR="003B2224">
        <w:t xml:space="preserve"> </w:t>
      </w:r>
      <w:r w:rsidR="0094326F">
        <w:t>šifrirane</w:t>
      </w:r>
      <w:r w:rsidRPr="005136C4">
        <w:t xml:space="preserve"> spletne povezave. HTTPS povezava med</w:t>
      </w:r>
      <w:r w:rsidR="0094326F">
        <w:t xml:space="preserve"> uporabnikovim brskalnikom in </w:t>
      </w:r>
      <w:r w:rsidRPr="005136C4">
        <w:t xml:space="preserve"> spletnim strežnikom </w:t>
      </w:r>
      <w:r w:rsidR="0094326F">
        <w:t xml:space="preserve">se vzpostavi </w:t>
      </w:r>
      <w:r w:rsidRPr="005136C4">
        <w:t xml:space="preserve">s pomočjo varnostnih protokolov SSL oziroma TLS </w:t>
      </w:r>
      <w:r w:rsidR="00417A27">
        <w:t xml:space="preserve">in </w:t>
      </w:r>
      <w:r w:rsidRPr="005136C4">
        <w:t>omogoča šifriran prenos podatkov med strežnikom in odjemalcem (spletnim brskalnikom) ter s tem zagotavlja visoko stopnjo varnosti pri prenosu podatkov.</w:t>
      </w:r>
    </w:p>
    <w:p w:rsidR="005136C4" w:rsidRPr="005136C4" w:rsidRDefault="005136C4" w:rsidP="005136C4">
      <w:r w:rsidRPr="005136C4">
        <w:t>Spletni strežnik komisije je nastavljen tako, da uporabnik</w:t>
      </w:r>
      <w:r w:rsidR="000426A4">
        <w:t>a</w:t>
      </w:r>
      <w:r w:rsidRPr="005136C4">
        <w:t xml:space="preserve"> vedno preusmeri na HTTPS šifrirano povezavo, tudi če se uporabnik zmoti in do strežnika poskuša dostopati prek navadne, nešifrirane povezave. Varnostna analiza HTTPS povezave spletnega strežnika komisije s strani podjetja </w:t>
      </w:r>
      <w:proofErr w:type="spellStart"/>
      <w:r w:rsidRPr="005136C4">
        <w:t>Qualys</w:t>
      </w:r>
      <w:proofErr w:type="spellEnd"/>
      <w:r w:rsidRPr="005136C4">
        <w:t xml:space="preserve"> SSL </w:t>
      </w:r>
      <w:proofErr w:type="spellStart"/>
      <w:r w:rsidRPr="005136C4">
        <w:t>Labs</w:t>
      </w:r>
      <w:proofErr w:type="spellEnd"/>
      <w:r w:rsidRPr="005136C4">
        <w:t xml:space="preserve"> kaže, da je šifrirana spletna povezava spletnega strežnika komisije korupcije visoko kakovostna, saj je skupna ocena konfiguracije SSL povezave </w:t>
      </w:r>
      <w:hyperlink r:id="rId12" w:history="1">
        <w:r w:rsidRPr="003C233A">
          <w:rPr>
            <w:rStyle w:val="Hiperpovezava"/>
          </w:rPr>
          <w:t>ocenjena z oceno A</w:t>
        </w:r>
        <w:r w:rsidR="003C233A" w:rsidRPr="003C233A">
          <w:rPr>
            <w:rStyle w:val="Hiperpovezava"/>
          </w:rPr>
          <w:t>+</w:t>
        </w:r>
      </w:hyperlink>
      <w:r w:rsidR="003C233A">
        <w:rPr>
          <w:rStyle w:val="Sprotnaopomba-sklic"/>
        </w:rPr>
        <w:footnoteReference w:id="2"/>
      </w:r>
      <w:r w:rsidRPr="005136C4">
        <w:t>.</w:t>
      </w:r>
    </w:p>
    <w:p w:rsidR="005136C4" w:rsidRPr="005136C4" w:rsidRDefault="00F358A4" w:rsidP="00F358A4">
      <w:pPr>
        <w:pStyle w:val="Naslov2"/>
      </w:pPr>
      <w:r>
        <w:t>Začasna hramba podatkov v asimetrično šifrirani obliki</w:t>
      </w:r>
    </w:p>
    <w:p w:rsidR="00DC1B51" w:rsidRDefault="005136C4" w:rsidP="005136C4">
      <w:r w:rsidRPr="005136C4">
        <w:t>Spletne obrazce zavezanci izpolnjujejo v treh korakih. V prvem koraku zavezanec v spletni obrazec</w:t>
      </w:r>
      <w:r w:rsidR="00D427E3">
        <w:t xml:space="preserve"> </w:t>
      </w:r>
      <w:r w:rsidRPr="005136C4">
        <w:t>vnese svoje podatke. V drugem koraku se podatki prek šifrirane povezave prenesejo na spletni strežnik komisije, kjer se preveri njihova veljavnost. To pomeni, da spletna aplikacija preveri, ali so podatki posredovani v pravilni obliki (na primer: da sta ime in priimek osebe zapisana v skladu z razpoložljivim naborom črk in znakov za zapis osebnega imena v Republiki Sloveniji, da sta EMŠO ali davčna številka zapisana v skladu z zakonsko veljavnim načinom in da se v posredovanem EMŠO ali davčni številki ujema izrač</w:t>
      </w:r>
      <w:r w:rsidR="00D427E3">
        <w:t>un kontrolne številke ter</w:t>
      </w:r>
      <w:r w:rsidRPr="005136C4">
        <w:t xml:space="preserve"> drugo)</w:t>
      </w:r>
      <w:r w:rsidR="00D427E3">
        <w:t>.</w:t>
      </w:r>
      <w:r w:rsidRPr="005136C4">
        <w:t xml:space="preserve"> Pri tem preverjanju se podatki </w:t>
      </w:r>
      <w:r w:rsidR="00D427E3">
        <w:t xml:space="preserve">še ne </w:t>
      </w:r>
      <w:r w:rsidR="00D427E3">
        <w:lastRenderedPageBreak/>
        <w:t>shranijo na strežnik.</w:t>
      </w:r>
      <w:r w:rsidRPr="005136C4">
        <w:t xml:space="preserve"> </w:t>
      </w:r>
      <w:r w:rsidR="00D427E3">
        <w:t>A</w:t>
      </w:r>
      <w:r w:rsidRPr="005136C4">
        <w:t>plikacija je zasnovana tako, da se podatki ne shranjujejo v začasne datoteke, pač pa se hranijo izključno v delovnem pomnilniku (RAM). V primeru, da spletna aplikacija ugotovi neveljavnost po</w:t>
      </w:r>
      <w:r w:rsidR="00D427E3">
        <w:t>datkov, zavezancu sporoči napako.</w:t>
      </w:r>
      <w:r w:rsidRPr="005136C4">
        <w:t xml:space="preserve"> </w:t>
      </w:r>
      <w:r w:rsidR="00D427E3">
        <w:t>K</w:t>
      </w:r>
      <w:r w:rsidRPr="005136C4">
        <w:t>o pa so podatki ustrezno preverjeni,</w:t>
      </w:r>
      <w:r w:rsidR="00D427E3">
        <w:t xml:space="preserve"> lahko</w:t>
      </w:r>
      <w:r w:rsidRPr="005136C4">
        <w:t xml:space="preserve"> uporabnik v drugem koraku podatke pred dokončno potrditvijo še pregleda oziroma se vrne na ponoven vnos oziroma popravljanje.</w:t>
      </w:r>
    </w:p>
    <w:p w:rsidR="004C2C41" w:rsidRDefault="004C2C41" w:rsidP="005136C4">
      <w:r w:rsidRPr="004C2C41">
        <w:t xml:space="preserve">V tretjem koraku se (preverjeni) podatki prek varne povezave prenesejo na spletni strežnik komisije. Tam spletna aplikacija ustvari PDF dokument, ki poleg posredovanih podatkov vsebuje še identifikacijsko črtno kodo. Ta PDF dokument se prikaže v spletnem brskalniku uporabnika, uporabnik pa ga natisne, podpiše (fizično ali elektronsko) in pošlje na naslov komisije. Hkrati se podatki iz spletnega obrazca v elektronski obliki shranijo tudi na strežniku. Podatki se shranijo </w:t>
      </w:r>
      <w:r>
        <w:t>v podatkovno bazo v šifrirani obliki</w:t>
      </w:r>
      <w:r w:rsidRPr="004C2C41">
        <w:t>. Pri tem je uporabljeno tako imenovano asimetrično šifriranje, kar pomeni, da podatkov na spletnem strežniku komisije ni mogoče dešifrirati. Dešifriranje je mogoče le na ločenem internem strežniku komisije, saj na spletnem strežniku ni šifrirnih ključev za dešifriranje podatkov.</w:t>
      </w:r>
    </w:p>
    <w:p w:rsidR="00213D49" w:rsidRDefault="00213D49" w:rsidP="00213D49">
      <w:pPr>
        <w:pStyle w:val="Naslov2"/>
      </w:pPr>
      <w:r>
        <w:t>Dodatna varnost spletnega strežnika</w:t>
      </w:r>
    </w:p>
    <w:p w:rsidR="00213D49" w:rsidRDefault="00213D49" w:rsidP="00213D49">
      <w:r>
        <w:t xml:space="preserve">Spletni strežnik komisije poleg tega uporablja še dodatne zaščitne mehanizme. Tako uporabljamo ustrezno nastavljeno požarno pregrado (ang. </w:t>
      </w:r>
      <w:proofErr w:type="spellStart"/>
      <w:r>
        <w:t>firewall</w:t>
      </w:r>
      <w:proofErr w:type="spellEnd"/>
      <w:r>
        <w:t>), s katero onemogočamo nepooblaščene dostope do strežnika, administrativni dostop do strežnika pa ima le omejen krog oseb. Skrbimo tudi za ustrezne varnostne posodobitve programske opreme na strežniku ter varnostno arhiviranje podatkov.</w:t>
      </w:r>
    </w:p>
    <w:p w:rsidR="00DA16E6" w:rsidRDefault="00DA16E6" w:rsidP="00DA16E6">
      <w:pPr>
        <w:pStyle w:val="Naslov2"/>
      </w:pPr>
      <w:r>
        <w:t>Prenos podatkov v interno omrežje komisije in varnost internega strežnika</w:t>
      </w:r>
    </w:p>
    <w:p w:rsidR="00DA16E6" w:rsidRDefault="00DA16E6" w:rsidP="00DA16E6">
      <w:r>
        <w:t xml:space="preserve">Asimetrično </w:t>
      </w:r>
      <w:proofErr w:type="spellStart"/>
      <w:r>
        <w:t>kriptirana</w:t>
      </w:r>
      <w:proofErr w:type="spellEnd"/>
      <w:r>
        <w:t xml:space="preserve"> vsebina s podatki iz spletnih obrazcev se prek posebne šifrirane povezave samodejno prenese na interni strežnik komisije. Ta strežnik se nahaja v zaščitenem HKOM omrežju. Kljub temu, da je HKOM omrežje državne uprave ustrezno zavarovano, je interni strežnik Komisije še dodatno zavarovan na več ravneh. Tako uporabljamo dodatno požarno pregrado, trdi disk strežnika je v celoti šifriran, dostop do administracije strežnika ima le omejen krog oseb. Poskrbljeno je tudi za fizično varnost strežnika in varnostno arhiviranje podatkov. Ko se šifrirane datoteke s podatki prenesejo na interni strežnik, se asimetrično </w:t>
      </w:r>
      <w:proofErr w:type="spellStart"/>
      <w:r>
        <w:t>dekriptirajo</w:t>
      </w:r>
      <w:proofErr w:type="spellEnd"/>
      <w:r>
        <w:t xml:space="preserve"> in shranijo v interno podatkovno bazo, vendar šele po tem, ko na komisiji prejmemo s strani zavezanca podpisan obrazec s črtno kodo. Podatki iz te baze so nato vidni v interni aplikaciji </w:t>
      </w:r>
      <w:proofErr w:type="spellStart"/>
      <w:r>
        <w:t>Corruptio</w:t>
      </w:r>
      <w:proofErr w:type="spellEnd"/>
      <w:r>
        <w:t>, ki teče na tem internem strežniku, in jo lahko uporabljajo le pooblaščene osebe zaposlene na Komisiji.</w:t>
      </w:r>
    </w:p>
    <w:p w:rsidR="004B3F79" w:rsidRDefault="004B3F79" w:rsidP="004B3F79">
      <w:pPr>
        <w:pStyle w:val="Naslov2"/>
      </w:pPr>
      <w:r>
        <w:t>Varovanje podatkov v interni aplikaciji Komisije</w:t>
      </w:r>
    </w:p>
    <w:p w:rsidR="004B3F79" w:rsidRDefault="004B3F79" w:rsidP="004B3F79">
      <w:r>
        <w:t xml:space="preserve">Dostop do aplikacije </w:t>
      </w:r>
      <w:proofErr w:type="spellStart"/>
      <w:r>
        <w:t>Corruptio</w:t>
      </w:r>
      <w:proofErr w:type="spellEnd"/>
      <w:r>
        <w:t xml:space="preserve"> je omogočen le omejenemu krogu oseb, omogočen pa je le iz internega računalniškega omrežja komisije oziroma za nekaj oseb </w:t>
      </w:r>
      <w:r w:rsidR="000203DC">
        <w:t>prek zaščitene</w:t>
      </w:r>
      <w:r>
        <w:t xml:space="preserve"> VPN povezav</w:t>
      </w:r>
      <w:r w:rsidR="000203DC">
        <w:t>e do HKOM omrežja</w:t>
      </w:r>
      <w:r>
        <w:t>. Kljub temu, da se tako uporabniki aplikacije, kot tudi strežnik nahajajo v internem omrežju komisije, je dostop do aplikacije mogoč samo prek šifrirane</w:t>
      </w:r>
      <w:r w:rsidR="00966763">
        <w:t xml:space="preserve"> (HTTPS)</w:t>
      </w:r>
      <w:r>
        <w:t xml:space="preserve"> povezave. Vsi dostopi do aplikacije </w:t>
      </w:r>
      <w:proofErr w:type="spellStart"/>
      <w:r>
        <w:t>Corruptio</w:t>
      </w:r>
      <w:proofErr w:type="spellEnd"/>
      <w:r>
        <w:t xml:space="preserve"> – torej tudi vpogledi v osebne podatke – se neizbrisno beležijo in sicer na ločenem strežniku. Sistem je zasnovan tako, da v primeru, da bi nekdo odklopil ta ločeni strežnik za neizbrisno beleženje revizijskih sledi (torej dostopov do osebnih podatkov), osnovna aplikacija za dostop do osebnih podatkov </w:t>
      </w:r>
      <w:proofErr w:type="spellStart"/>
      <w:r>
        <w:t>Corruptio</w:t>
      </w:r>
      <w:proofErr w:type="spellEnd"/>
      <w:r>
        <w:t xml:space="preserve"> preneha delovati. Ustrezno je zavarovan tudi strežnik, ki </w:t>
      </w:r>
      <w:r>
        <w:lastRenderedPageBreak/>
        <w:t>hrani revizijske sledi (dodatna požarna pregrada, v celoti šifriran trdi disk, varnostno arhiviranje, omejeni administrativni dostopi</w:t>
      </w:r>
      <w:r w:rsidR="008259CA">
        <w:t xml:space="preserve"> </w:t>
      </w:r>
      <w:r>
        <w:t>…</w:t>
      </w:r>
      <w:r w:rsidR="00814556">
        <w:t xml:space="preserve"> </w:t>
      </w:r>
      <w:r>
        <w:t>).</w:t>
      </w:r>
    </w:p>
    <w:p w:rsidR="00F16960" w:rsidRDefault="00F16960" w:rsidP="00F16960">
      <w:pPr>
        <w:pStyle w:val="Naslov2"/>
      </w:pPr>
      <w:r>
        <w:t>Seznanjenost zaposlenih na komisiji z obveznostjo varstva osebnih podatkov</w:t>
      </w:r>
    </w:p>
    <w:p w:rsidR="00F16960" w:rsidRDefault="00F16960" w:rsidP="00F16960">
      <w:r>
        <w:t xml:space="preserve">Vsi uporabniki aplikacije </w:t>
      </w:r>
      <w:proofErr w:type="spellStart"/>
      <w:r>
        <w:t>Corruptio</w:t>
      </w:r>
      <w:proofErr w:type="spellEnd"/>
      <w:r>
        <w:t xml:space="preserve"> so dobro seznanjeni z Zakonom o varstvu osebnih podatkov (ZVOP-1) in svojimi obveznostmi glede varovanja osebnih podatkov. Uporabniki (zaposleni na Komisiji) so se udeležili izobraževanja tako o varstvu osebnih podatkov, kot tudi o varnosti informacijskih sistemov, podpisali pa so tudi ustrezne izjave glede varstva osebnih podatkov. </w:t>
      </w:r>
    </w:p>
    <w:p w:rsidR="00F16960" w:rsidRPr="005136C4" w:rsidRDefault="00F16960" w:rsidP="00F16960">
      <w:r>
        <w:t xml:space="preserve">Izobraževanja iz področja varstva osebnih podatkov in informacijske varnosti so za zaposlene na komisiji obvezna in se periodično ponavljajo, saj želimo, da zaposleni svoja znanja iz teh področij redno obnavljajo in nadgrajujejo. Na enak način </w:t>
      </w:r>
      <w:r w:rsidR="00556150">
        <w:t>morajo biti</w:t>
      </w:r>
      <w:r>
        <w:t xml:space="preserve"> Zakonom o varstvu osebnih podatkov in osnovami informacijske varnosti seznanjeni tudi </w:t>
      </w:r>
      <w:r w:rsidR="00556150">
        <w:t xml:space="preserve">morebitni </w:t>
      </w:r>
      <w:r>
        <w:t xml:space="preserve">zunanji sodelavci (programerji), ki sicer nimajo samostojnih dostopov do omenjene infrastrukture (strežnikov in podatkovnih baz). V primeru kakršnegakoli dela na strežnikih ali </w:t>
      </w:r>
      <w:r w:rsidR="00556150">
        <w:t>sistemih za upravljanje podatkovnih baz</w:t>
      </w:r>
      <w:r>
        <w:t xml:space="preserve"> zunanjim sodelavcem komisije dostop omogoči ena izmed za to pooblaščenih oseb na komisiji,in sicer vedno le iz prostorov komisije. Ta oseba tudi nadzira delo in aktivnosti zunanjih sodelavcev. Na komisiji se zavedamo dejstva, da popolne varnosti ni mogoče zagotoviti, lahko pa zagotovimo, da smo se glede varovanja osebnih in drugih podatkov, ki jih zavezanci posredujejo komisiji, potrudili po svojih najboljših močeh, v skladu z zakonom in ustreznimi varnostnimi standardi, ki veljajo na tem področju.</w:t>
      </w:r>
    </w:p>
    <w:sectPr w:rsidR="00F16960" w:rsidRPr="005136C4" w:rsidSect="004B2210">
      <w:headerReference w:type="default" r:id="rId13"/>
      <w:footerReference w:type="default" r:id="rId14"/>
      <w:headerReference w:type="first" r:id="rId15"/>
      <w:footerReference w:type="first" r:id="rId16"/>
      <w:pgSz w:w="11906" w:h="16838"/>
      <w:pgMar w:top="547" w:right="1416" w:bottom="1417" w:left="1560"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58" w:rsidRDefault="004C4758" w:rsidP="009C537F">
      <w:pPr>
        <w:spacing w:after="0" w:line="240" w:lineRule="auto"/>
      </w:pPr>
      <w:r>
        <w:separator/>
      </w:r>
    </w:p>
  </w:endnote>
  <w:endnote w:type="continuationSeparator" w:id="0">
    <w:p w:rsidR="004C4758" w:rsidRDefault="004C4758" w:rsidP="009C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58" w:rsidRDefault="004C4758" w:rsidP="00593949">
    <w:pPr>
      <w:pBdr>
        <w:bottom w:val="single" w:sz="4" w:space="1" w:color="auto"/>
      </w:pBdr>
    </w:pPr>
  </w:p>
  <w:tbl>
    <w:tblPr>
      <w:tblW w:w="0" w:type="auto"/>
      <w:tblLook w:val="04A0" w:firstRow="1" w:lastRow="0" w:firstColumn="1" w:lastColumn="0" w:noHBand="0" w:noVBand="1"/>
    </w:tblPr>
    <w:tblGrid>
      <w:gridCol w:w="4416"/>
      <w:gridCol w:w="4730"/>
    </w:tblGrid>
    <w:tr w:rsidR="004C4758" w:rsidTr="00AC3DED">
      <w:tc>
        <w:tcPr>
          <w:tcW w:w="4606" w:type="dxa"/>
          <w:shd w:val="clear" w:color="auto" w:fill="auto"/>
        </w:tcPr>
        <w:p w:rsidR="004C4758" w:rsidRPr="00FF3506" w:rsidRDefault="004C4758" w:rsidP="00AC3DED">
          <w:pPr>
            <w:pStyle w:val="Noga-KPK"/>
            <w:jc w:val="left"/>
          </w:pPr>
          <w:r>
            <w:t xml:space="preserve">KPK, </w:t>
          </w:r>
          <w:r w:rsidRPr="00FF3506">
            <w:t>Dunajska cesta 56, 100</w:t>
          </w:r>
          <w:r>
            <w:t>0 Ljubljana</w:t>
          </w:r>
          <w:r>
            <w:br/>
            <w:t xml:space="preserve">tel.: 01 400 5710 </w:t>
          </w:r>
        </w:p>
        <w:p w:rsidR="004C4758" w:rsidRPr="00AC3DED" w:rsidRDefault="004C4758" w:rsidP="00AC3DED">
          <w:pPr>
            <w:pStyle w:val="Noga-KPK"/>
            <w:jc w:val="left"/>
            <w:rPr>
              <w:rFonts w:ascii="Arial" w:hAnsi="Arial" w:cs="Arial"/>
            </w:rPr>
          </w:pPr>
          <w:proofErr w:type="spellStart"/>
          <w:r w:rsidRPr="00FF3506">
            <w:t>anti.korupcija@kpk</w:t>
          </w:r>
          <w:proofErr w:type="spellEnd"/>
          <w:r w:rsidRPr="00FF3506">
            <w:t>-</w:t>
          </w:r>
          <w:proofErr w:type="spellStart"/>
          <w:r w:rsidRPr="00FF3506">
            <w:t>rs.si</w:t>
          </w:r>
          <w:proofErr w:type="spellEnd"/>
          <w:r w:rsidRPr="00FF3506">
            <w:t xml:space="preserve"> / </w:t>
          </w:r>
          <w:proofErr w:type="spellStart"/>
          <w:r w:rsidRPr="00FF3506">
            <w:t>www.kpk</w:t>
          </w:r>
          <w:proofErr w:type="spellEnd"/>
          <w:r w:rsidRPr="00FF3506">
            <w:t>-</w:t>
          </w:r>
          <w:proofErr w:type="spellStart"/>
          <w:r w:rsidRPr="00FF3506">
            <w:t>rs.si</w:t>
          </w:r>
          <w:proofErr w:type="spellEnd"/>
        </w:p>
      </w:tc>
      <w:tc>
        <w:tcPr>
          <w:tcW w:w="5000" w:type="dxa"/>
          <w:shd w:val="clear" w:color="auto" w:fill="auto"/>
        </w:tcPr>
        <w:p w:rsidR="004C4758" w:rsidRPr="00AC3DED" w:rsidRDefault="004C4758" w:rsidP="00AC3DED">
          <w:pPr>
            <w:pStyle w:val="Noga-KPK"/>
            <w:jc w:val="right"/>
            <w:rPr>
              <w:rFonts w:ascii="Arial" w:hAnsi="Arial" w:cs="Arial"/>
            </w:rPr>
          </w:pPr>
          <w:r w:rsidRPr="0071577D">
            <w:fldChar w:fldCharType="begin"/>
          </w:r>
          <w:r w:rsidRPr="0071577D">
            <w:instrText xml:space="preserve"> PAGE </w:instrText>
          </w:r>
          <w:r w:rsidRPr="0071577D">
            <w:fldChar w:fldCharType="separate"/>
          </w:r>
          <w:r w:rsidR="00D35846">
            <w:rPr>
              <w:noProof/>
            </w:rPr>
            <w:t>3</w:t>
          </w:r>
          <w:r w:rsidRPr="0071577D">
            <w:fldChar w:fldCharType="end"/>
          </w:r>
          <w:r w:rsidRPr="0071577D">
            <w:t>/</w:t>
          </w:r>
          <w:fldSimple w:instr=" NUMPAGES ">
            <w:r w:rsidR="00D35846">
              <w:rPr>
                <w:noProof/>
              </w:rPr>
              <w:t>3</w:t>
            </w:r>
          </w:fldSimple>
        </w:p>
      </w:tc>
    </w:tr>
  </w:tbl>
  <w:p w:rsidR="004C4758" w:rsidRDefault="004C4758" w:rsidP="0059394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58" w:rsidRDefault="004C4758" w:rsidP="00593949">
    <w:pPr>
      <w:pBdr>
        <w:bottom w:val="single" w:sz="4" w:space="1" w:color="auto"/>
      </w:pBdr>
    </w:pPr>
  </w:p>
  <w:tbl>
    <w:tblPr>
      <w:tblW w:w="8931" w:type="dxa"/>
      <w:tblInd w:w="108" w:type="dxa"/>
      <w:tblLook w:val="04A0" w:firstRow="1" w:lastRow="0" w:firstColumn="1" w:lastColumn="0" w:noHBand="0" w:noVBand="1"/>
    </w:tblPr>
    <w:tblGrid>
      <w:gridCol w:w="3925"/>
      <w:gridCol w:w="5006"/>
    </w:tblGrid>
    <w:tr w:rsidR="004C4758" w:rsidTr="0066607E">
      <w:trPr>
        <w:trHeight w:val="514"/>
      </w:trPr>
      <w:tc>
        <w:tcPr>
          <w:tcW w:w="3925" w:type="dxa"/>
          <w:shd w:val="clear" w:color="auto" w:fill="auto"/>
        </w:tcPr>
        <w:p w:rsidR="004C4758" w:rsidRPr="00DF1AA0" w:rsidRDefault="004C4758" w:rsidP="00AC3DED">
          <w:pPr>
            <w:pStyle w:val="Noga-KPK"/>
            <w:jc w:val="left"/>
            <w:rPr>
              <w:sz w:val="18"/>
              <w:szCs w:val="18"/>
            </w:rPr>
          </w:pPr>
          <w:r w:rsidRPr="00DF1AA0">
            <w:rPr>
              <w:sz w:val="18"/>
              <w:szCs w:val="18"/>
            </w:rPr>
            <w:t>Dunajska cesta 56, 1000 Ljubljana</w:t>
          </w:r>
          <w:r w:rsidRPr="00DF1AA0">
            <w:rPr>
              <w:sz w:val="18"/>
              <w:szCs w:val="18"/>
            </w:rPr>
            <w:br/>
            <w:t>tel.: 01 400 5710</w:t>
          </w:r>
        </w:p>
        <w:p w:rsidR="004C4758" w:rsidRPr="00DF1AA0" w:rsidRDefault="004C4758" w:rsidP="00AC3DED">
          <w:pPr>
            <w:pStyle w:val="Noga-KPK"/>
            <w:jc w:val="left"/>
            <w:rPr>
              <w:rFonts w:ascii="Arial" w:hAnsi="Arial" w:cs="Arial"/>
              <w:sz w:val="18"/>
              <w:szCs w:val="18"/>
            </w:rPr>
          </w:pPr>
          <w:proofErr w:type="spellStart"/>
          <w:r w:rsidRPr="00DF1AA0">
            <w:rPr>
              <w:sz w:val="18"/>
              <w:szCs w:val="18"/>
            </w:rPr>
            <w:t>anti.korupcija@kpk</w:t>
          </w:r>
          <w:proofErr w:type="spellEnd"/>
          <w:r w:rsidRPr="00DF1AA0">
            <w:rPr>
              <w:sz w:val="18"/>
              <w:szCs w:val="18"/>
            </w:rPr>
            <w:t>-</w:t>
          </w:r>
          <w:proofErr w:type="spellStart"/>
          <w:r w:rsidRPr="00DF1AA0">
            <w:rPr>
              <w:sz w:val="18"/>
              <w:szCs w:val="18"/>
            </w:rPr>
            <w:t>rs.si</w:t>
          </w:r>
          <w:proofErr w:type="spellEnd"/>
          <w:r w:rsidRPr="00DF1AA0">
            <w:rPr>
              <w:sz w:val="18"/>
              <w:szCs w:val="18"/>
            </w:rPr>
            <w:t xml:space="preserve"> / </w:t>
          </w:r>
          <w:proofErr w:type="spellStart"/>
          <w:r w:rsidRPr="00DF1AA0">
            <w:rPr>
              <w:sz w:val="18"/>
              <w:szCs w:val="18"/>
            </w:rPr>
            <w:t>www.kpk</w:t>
          </w:r>
          <w:proofErr w:type="spellEnd"/>
          <w:r w:rsidRPr="00DF1AA0">
            <w:rPr>
              <w:sz w:val="18"/>
              <w:szCs w:val="18"/>
            </w:rPr>
            <w:t>-</w:t>
          </w:r>
          <w:proofErr w:type="spellStart"/>
          <w:r w:rsidRPr="00DF1AA0">
            <w:rPr>
              <w:sz w:val="18"/>
              <w:szCs w:val="18"/>
            </w:rPr>
            <w:t>rs.si</w:t>
          </w:r>
          <w:proofErr w:type="spellEnd"/>
        </w:p>
      </w:tc>
      <w:tc>
        <w:tcPr>
          <w:tcW w:w="5006" w:type="dxa"/>
          <w:shd w:val="clear" w:color="auto" w:fill="auto"/>
        </w:tcPr>
        <w:p w:rsidR="004C4758" w:rsidRPr="00AC3DED" w:rsidRDefault="004C4758" w:rsidP="00AC3DED">
          <w:pPr>
            <w:pStyle w:val="Noga-KPK"/>
            <w:jc w:val="right"/>
            <w:rPr>
              <w:rFonts w:ascii="Arial" w:hAnsi="Arial" w:cs="Arial"/>
              <w:sz w:val="14"/>
            </w:rPr>
          </w:pPr>
          <w:r w:rsidRPr="0071577D">
            <w:fldChar w:fldCharType="begin"/>
          </w:r>
          <w:r w:rsidRPr="0071577D">
            <w:instrText xml:space="preserve"> PAGE </w:instrText>
          </w:r>
          <w:r w:rsidRPr="0071577D">
            <w:fldChar w:fldCharType="separate"/>
          </w:r>
          <w:r w:rsidR="00D35846">
            <w:rPr>
              <w:noProof/>
            </w:rPr>
            <w:t>1</w:t>
          </w:r>
          <w:r w:rsidRPr="0071577D">
            <w:fldChar w:fldCharType="end"/>
          </w:r>
          <w:r w:rsidRPr="0071577D">
            <w:t>/</w:t>
          </w:r>
          <w:fldSimple w:instr=" NUMPAGES ">
            <w:r w:rsidR="00D35846">
              <w:rPr>
                <w:noProof/>
              </w:rPr>
              <w:t>3</w:t>
            </w:r>
          </w:fldSimple>
        </w:p>
      </w:tc>
    </w:tr>
  </w:tbl>
  <w:p w:rsidR="004C4758" w:rsidRPr="00593949" w:rsidRDefault="004C4758" w:rsidP="0059394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58" w:rsidRDefault="004C4758" w:rsidP="009C537F">
      <w:pPr>
        <w:spacing w:after="0" w:line="240" w:lineRule="auto"/>
      </w:pPr>
      <w:r>
        <w:separator/>
      </w:r>
    </w:p>
  </w:footnote>
  <w:footnote w:type="continuationSeparator" w:id="0">
    <w:p w:rsidR="004C4758" w:rsidRDefault="004C4758" w:rsidP="009C537F">
      <w:pPr>
        <w:spacing w:after="0" w:line="240" w:lineRule="auto"/>
      </w:pPr>
      <w:r>
        <w:continuationSeparator/>
      </w:r>
    </w:p>
  </w:footnote>
  <w:footnote w:id="1">
    <w:p w:rsidR="004C4758" w:rsidRDefault="004C4758">
      <w:pPr>
        <w:pStyle w:val="Sprotnaopomba-besedilo"/>
      </w:pPr>
      <w:r>
        <w:rPr>
          <w:rStyle w:val="Sprotnaopomba-sklic"/>
        </w:rPr>
        <w:footnoteRef/>
      </w:r>
      <w:r>
        <w:t xml:space="preserve"> HTTPS je kratica za</w:t>
      </w:r>
      <w:r w:rsidRPr="003B2224">
        <w:t xml:space="preserve"> </w:t>
      </w:r>
      <w:proofErr w:type="spellStart"/>
      <w:r w:rsidRPr="003B2224">
        <w:t>Hype</w:t>
      </w:r>
      <w:r>
        <w:t>rText</w:t>
      </w:r>
      <w:proofErr w:type="spellEnd"/>
      <w:r>
        <w:t xml:space="preserve"> Transfer </w:t>
      </w:r>
      <w:proofErr w:type="spellStart"/>
      <w:r>
        <w:t>Protocol</w:t>
      </w:r>
      <w:proofErr w:type="spellEnd"/>
      <w:r>
        <w:t xml:space="preserve"> </w:t>
      </w:r>
      <w:proofErr w:type="spellStart"/>
      <w:r>
        <w:t>Secure</w:t>
      </w:r>
      <w:proofErr w:type="spellEnd"/>
    </w:p>
  </w:footnote>
  <w:footnote w:id="2">
    <w:p w:rsidR="003C233A" w:rsidRDefault="003C233A">
      <w:pPr>
        <w:pStyle w:val="Sprotnaopomba-besedilo"/>
      </w:pPr>
      <w:r>
        <w:rPr>
          <w:rStyle w:val="Sprotnaopomba-sklic"/>
        </w:rPr>
        <w:footnoteRef/>
      </w:r>
      <w:r>
        <w:t xml:space="preserve"> Ocena se lahko s časom zaradi razvoja novih varnih protokolov in odkritih novih ranljivosti v starih protokolih spremeni.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58" w:rsidRPr="00FF326F" w:rsidRDefault="004C4758" w:rsidP="006771DF">
    <w:pPr>
      <w:pStyle w:val="Glava"/>
      <w:rPr>
        <w:rFonts w:cs="Calibri"/>
        <w:noProof/>
        <w:sz w:val="12"/>
        <w:szCs w:val="12"/>
        <w:lang w:eastAsia="zh-CN"/>
      </w:rPr>
    </w:pPr>
  </w:p>
  <w:p w:rsidR="004C4758" w:rsidRPr="00FF326F" w:rsidRDefault="004C4758" w:rsidP="006771DF">
    <w:pPr>
      <w:pStyle w:val="Glava"/>
      <w:rPr>
        <w:rFonts w:cs="Calibri"/>
        <w:noProof/>
        <w:lang w:eastAsia="zh-CN"/>
      </w:rPr>
    </w:pPr>
  </w:p>
  <w:p w:rsidR="004C4758" w:rsidRPr="006771DF" w:rsidRDefault="004C4758" w:rsidP="006771D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58" w:rsidRPr="00CE125C" w:rsidRDefault="004C4758" w:rsidP="005136C4">
    <w:pPr>
      <w:pStyle w:val="Naslov1"/>
      <w:rPr>
        <w:rFonts w:ascii="Arial Narrow" w:hAnsi="Arial Narrow"/>
        <w:noProof/>
        <w:lang w:val="en-US"/>
      </w:rPr>
    </w:pPr>
    <w:r>
      <w:rPr>
        <w:noProof/>
        <w:lang w:eastAsia="sl-SI"/>
      </w:rPr>
      <w:drawing>
        <wp:inline distT="0" distB="0" distL="0" distR="0" wp14:anchorId="43F2C01A" wp14:editId="52C08CB2">
          <wp:extent cx="396875" cy="491490"/>
          <wp:effectExtent l="0" t="0" r="3175"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491490"/>
                  </a:xfrm>
                  <a:prstGeom prst="rect">
                    <a:avLst/>
                  </a:prstGeom>
                  <a:noFill/>
                  <a:ln>
                    <a:noFill/>
                  </a:ln>
                </pic:spPr>
              </pic:pic>
            </a:graphicData>
          </a:graphic>
        </wp:inline>
      </w:drawing>
    </w:r>
    <w:r w:rsidRPr="00077748">
      <w:rPr>
        <w:noProof/>
        <w:lang w:eastAsia="sl-SI"/>
      </w:rPr>
      <w:t xml:space="preserve"> </w:t>
    </w:r>
    <w:r>
      <w:rPr>
        <w:noProof/>
        <w:lang w:eastAsia="sl-SI"/>
      </w:rPr>
      <w:t xml:space="preserve"> </w:t>
    </w:r>
    <w:r>
      <w:rPr>
        <w:noProof/>
        <w:lang w:eastAsia="sl-SI"/>
      </w:rPr>
      <w:drawing>
        <wp:inline distT="0" distB="0" distL="0" distR="0" wp14:anchorId="3FE26E0B" wp14:editId="6CA46C9E">
          <wp:extent cx="3562709" cy="475355"/>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2860" cy="475375"/>
                  </a:xfrm>
                  <a:prstGeom prst="rect">
                    <a:avLst/>
                  </a:prstGeom>
                  <a:noFill/>
                  <a:ln>
                    <a:noFill/>
                  </a:ln>
                </pic:spPr>
              </pic:pic>
            </a:graphicData>
          </a:graphic>
        </wp:inline>
      </w:drawing>
    </w:r>
  </w:p>
  <w:p w:rsidR="004C4758" w:rsidRDefault="004C4758" w:rsidP="004C54D8">
    <w:pPr>
      <w:tabs>
        <w:tab w:val="center" w:pos="4536"/>
        <w:tab w:val="right" w:pos="9072"/>
      </w:tabs>
      <w:spacing w:after="0" w:line="240" w:lineRule="auto"/>
      <w:ind w:left="-851"/>
      <w:rPr>
        <w:rFonts w:ascii="Arial" w:hAnsi="Arial" w:cs="Arial"/>
        <w:noProof/>
        <w:sz w:val="20"/>
        <w:szCs w:val="20"/>
        <w:lang w:val="en-US"/>
      </w:rPr>
    </w:pPr>
  </w:p>
  <w:p w:rsidR="004C4758" w:rsidRDefault="004C4758" w:rsidP="004C54D8">
    <w:pPr>
      <w:tabs>
        <w:tab w:val="center" w:pos="4536"/>
        <w:tab w:val="right" w:pos="9072"/>
      </w:tabs>
      <w:spacing w:after="0" w:line="240" w:lineRule="auto"/>
      <w:ind w:left="-851"/>
      <w:rPr>
        <w:rFonts w:ascii="Arial Narrow" w:hAnsi="Arial Narrow" w:cs="Arial"/>
        <w:noProof/>
        <w:sz w:val="20"/>
        <w:szCs w:val="20"/>
        <w:lang w:val="en-US"/>
      </w:rPr>
    </w:pPr>
  </w:p>
  <w:p w:rsidR="004C4758" w:rsidRDefault="004C4758" w:rsidP="004C54D8">
    <w:pPr>
      <w:tabs>
        <w:tab w:val="center" w:pos="4536"/>
        <w:tab w:val="right" w:pos="9072"/>
      </w:tabs>
      <w:spacing w:after="0" w:line="240" w:lineRule="auto"/>
      <w:ind w:left="-851"/>
      <w:rPr>
        <w:rFonts w:ascii="Arial Narrow" w:hAnsi="Arial Narrow" w:cs="Arial"/>
        <w:noProof/>
        <w:sz w:val="20"/>
        <w:szCs w:val="20"/>
        <w:lang w:val="en-US"/>
      </w:rPr>
    </w:pPr>
  </w:p>
  <w:p w:rsidR="004C4758" w:rsidRPr="00CE125C" w:rsidRDefault="004C4758" w:rsidP="004C54D8">
    <w:pPr>
      <w:tabs>
        <w:tab w:val="center" w:pos="4536"/>
        <w:tab w:val="right" w:pos="9072"/>
      </w:tabs>
      <w:spacing w:after="0" w:line="240" w:lineRule="auto"/>
      <w:ind w:left="-851"/>
      <w:rPr>
        <w:rFonts w:ascii="Arial Narrow" w:hAnsi="Arial Narrow" w:cs="Arial"/>
        <w:noProof/>
        <w:sz w:val="20"/>
        <w:szCs w:val="20"/>
        <w:lang w:val="en-US"/>
      </w:rPr>
    </w:pPr>
  </w:p>
  <w:p w:rsidR="004C4758" w:rsidRPr="00CE125C" w:rsidRDefault="004C4758" w:rsidP="004C54D8">
    <w:pPr>
      <w:tabs>
        <w:tab w:val="center" w:pos="4536"/>
        <w:tab w:val="right" w:pos="9072"/>
      </w:tabs>
      <w:spacing w:after="0" w:line="240" w:lineRule="auto"/>
      <w:ind w:left="-851"/>
      <w:rPr>
        <w:rFonts w:ascii="Arial Narrow" w:hAnsi="Arial Narrow" w:cs="Arial"/>
        <w:noProof/>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5AD2"/>
    <w:multiLevelType w:val="hybridMultilevel"/>
    <w:tmpl w:val="C2EC5A22"/>
    <w:lvl w:ilvl="0" w:tplc="67F8F522">
      <w:start w:val="1"/>
      <w:numFmt w:val="bullet"/>
      <w:lvlText w:val="-"/>
      <w:lvlJc w:val="left"/>
      <w:pPr>
        <w:ind w:left="567" w:hanging="283"/>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2C24E0A"/>
    <w:multiLevelType w:val="hybridMultilevel"/>
    <w:tmpl w:val="1D86ED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C4"/>
    <w:rsid w:val="000203DC"/>
    <w:rsid w:val="00035BEC"/>
    <w:rsid w:val="000426A4"/>
    <w:rsid w:val="00046C84"/>
    <w:rsid w:val="00055E89"/>
    <w:rsid w:val="000F6380"/>
    <w:rsid w:val="000F6381"/>
    <w:rsid w:val="00150012"/>
    <w:rsid w:val="001617A7"/>
    <w:rsid w:val="00161808"/>
    <w:rsid w:val="00181268"/>
    <w:rsid w:val="00195333"/>
    <w:rsid w:val="001B0A18"/>
    <w:rsid w:val="001C1FAA"/>
    <w:rsid w:val="001D72D2"/>
    <w:rsid w:val="001E24E6"/>
    <w:rsid w:val="001E6D52"/>
    <w:rsid w:val="00213D49"/>
    <w:rsid w:val="00214FEE"/>
    <w:rsid w:val="00246731"/>
    <w:rsid w:val="0026210F"/>
    <w:rsid w:val="00294828"/>
    <w:rsid w:val="00313D59"/>
    <w:rsid w:val="00344621"/>
    <w:rsid w:val="00391928"/>
    <w:rsid w:val="0039556D"/>
    <w:rsid w:val="003A185C"/>
    <w:rsid w:val="003B2224"/>
    <w:rsid w:val="003B2601"/>
    <w:rsid w:val="003C02CD"/>
    <w:rsid w:val="003C233A"/>
    <w:rsid w:val="003C5F47"/>
    <w:rsid w:val="003D3741"/>
    <w:rsid w:val="00406BEC"/>
    <w:rsid w:val="00406E3F"/>
    <w:rsid w:val="00417A27"/>
    <w:rsid w:val="0043157A"/>
    <w:rsid w:val="00470F98"/>
    <w:rsid w:val="004A2032"/>
    <w:rsid w:val="004B2210"/>
    <w:rsid w:val="004B3F79"/>
    <w:rsid w:val="004B6667"/>
    <w:rsid w:val="004B7C91"/>
    <w:rsid w:val="004C2C41"/>
    <w:rsid w:val="004C4758"/>
    <w:rsid w:val="004C54D8"/>
    <w:rsid w:val="004D7B4F"/>
    <w:rsid w:val="005136C4"/>
    <w:rsid w:val="00521F3E"/>
    <w:rsid w:val="00534DF5"/>
    <w:rsid w:val="00556150"/>
    <w:rsid w:val="0058006B"/>
    <w:rsid w:val="00593949"/>
    <w:rsid w:val="005B5A1A"/>
    <w:rsid w:val="005E3188"/>
    <w:rsid w:val="00624EA0"/>
    <w:rsid w:val="00635420"/>
    <w:rsid w:val="0066607E"/>
    <w:rsid w:val="006676AC"/>
    <w:rsid w:val="006771DF"/>
    <w:rsid w:val="00695D3F"/>
    <w:rsid w:val="006A79A1"/>
    <w:rsid w:val="006B0CBD"/>
    <w:rsid w:val="00711A17"/>
    <w:rsid w:val="00712847"/>
    <w:rsid w:val="0071577D"/>
    <w:rsid w:val="00736745"/>
    <w:rsid w:val="00740CB2"/>
    <w:rsid w:val="007516BB"/>
    <w:rsid w:val="00770D48"/>
    <w:rsid w:val="00795729"/>
    <w:rsid w:val="007B0915"/>
    <w:rsid w:val="007B56B6"/>
    <w:rsid w:val="007B7EBB"/>
    <w:rsid w:val="007F3A67"/>
    <w:rsid w:val="0081355A"/>
    <w:rsid w:val="00814556"/>
    <w:rsid w:val="008259CA"/>
    <w:rsid w:val="008558D8"/>
    <w:rsid w:val="00890073"/>
    <w:rsid w:val="00891DC1"/>
    <w:rsid w:val="008B3FCD"/>
    <w:rsid w:val="008F236F"/>
    <w:rsid w:val="008F2804"/>
    <w:rsid w:val="00914284"/>
    <w:rsid w:val="0093123F"/>
    <w:rsid w:val="00932D0C"/>
    <w:rsid w:val="0094326F"/>
    <w:rsid w:val="00966763"/>
    <w:rsid w:val="009C50E1"/>
    <w:rsid w:val="009C537F"/>
    <w:rsid w:val="009D60EF"/>
    <w:rsid w:val="009F0383"/>
    <w:rsid w:val="009F0421"/>
    <w:rsid w:val="009F4EF8"/>
    <w:rsid w:val="00A114B5"/>
    <w:rsid w:val="00A40093"/>
    <w:rsid w:val="00A40D70"/>
    <w:rsid w:val="00A641FD"/>
    <w:rsid w:val="00A6748D"/>
    <w:rsid w:val="00AA7AE1"/>
    <w:rsid w:val="00AB1E43"/>
    <w:rsid w:val="00AC2DAD"/>
    <w:rsid w:val="00AC3DED"/>
    <w:rsid w:val="00AF325A"/>
    <w:rsid w:val="00B13F42"/>
    <w:rsid w:val="00B344F1"/>
    <w:rsid w:val="00B5029C"/>
    <w:rsid w:val="00B77723"/>
    <w:rsid w:val="00B803FF"/>
    <w:rsid w:val="00B804D5"/>
    <w:rsid w:val="00B9219B"/>
    <w:rsid w:val="00B933E1"/>
    <w:rsid w:val="00BB29EA"/>
    <w:rsid w:val="00BB7858"/>
    <w:rsid w:val="00BF5883"/>
    <w:rsid w:val="00C06EBD"/>
    <w:rsid w:val="00C4306C"/>
    <w:rsid w:val="00C83CDD"/>
    <w:rsid w:val="00C860BE"/>
    <w:rsid w:val="00C90099"/>
    <w:rsid w:val="00CA30E9"/>
    <w:rsid w:val="00CA50E9"/>
    <w:rsid w:val="00CD134C"/>
    <w:rsid w:val="00CE125C"/>
    <w:rsid w:val="00CE5D1F"/>
    <w:rsid w:val="00D0444A"/>
    <w:rsid w:val="00D1004B"/>
    <w:rsid w:val="00D129FF"/>
    <w:rsid w:val="00D257F4"/>
    <w:rsid w:val="00D31B58"/>
    <w:rsid w:val="00D35846"/>
    <w:rsid w:val="00D427E3"/>
    <w:rsid w:val="00D544F1"/>
    <w:rsid w:val="00D63F42"/>
    <w:rsid w:val="00D73CFA"/>
    <w:rsid w:val="00D92216"/>
    <w:rsid w:val="00DA16E6"/>
    <w:rsid w:val="00DA1A10"/>
    <w:rsid w:val="00DC1B51"/>
    <w:rsid w:val="00DC5994"/>
    <w:rsid w:val="00DD46BB"/>
    <w:rsid w:val="00DF1AA0"/>
    <w:rsid w:val="00E06A45"/>
    <w:rsid w:val="00E238E3"/>
    <w:rsid w:val="00E3372C"/>
    <w:rsid w:val="00E728A0"/>
    <w:rsid w:val="00E81AA0"/>
    <w:rsid w:val="00ED4882"/>
    <w:rsid w:val="00F16960"/>
    <w:rsid w:val="00F31F24"/>
    <w:rsid w:val="00F358A4"/>
    <w:rsid w:val="00F61493"/>
    <w:rsid w:val="00F84679"/>
    <w:rsid w:val="00FE12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2C41"/>
    <w:pPr>
      <w:spacing w:after="200" w:line="276" w:lineRule="auto"/>
      <w:jc w:val="both"/>
    </w:pPr>
    <w:rPr>
      <w:sz w:val="22"/>
      <w:szCs w:val="22"/>
      <w:lang w:eastAsia="en-US"/>
    </w:rPr>
  </w:style>
  <w:style w:type="paragraph" w:styleId="Naslov1">
    <w:name w:val="heading 1"/>
    <w:basedOn w:val="Navaden"/>
    <w:next w:val="Navaden"/>
    <w:link w:val="Naslov1Znak"/>
    <w:uiPriority w:val="9"/>
    <w:qFormat/>
    <w:rsid w:val="00470F98"/>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B921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53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C537F"/>
  </w:style>
  <w:style w:type="paragraph" w:styleId="Noga">
    <w:name w:val="footer"/>
    <w:basedOn w:val="Navaden"/>
    <w:link w:val="NogaZnak"/>
    <w:uiPriority w:val="99"/>
    <w:unhideWhenUsed/>
    <w:rsid w:val="009C537F"/>
    <w:pPr>
      <w:tabs>
        <w:tab w:val="center" w:pos="4536"/>
        <w:tab w:val="right" w:pos="9072"/>
      </w:tabs>
      <w:spacing w:after="0" w:line="240" w:lineRule="auto"/>
    </w:pPr>
  </w:style>
  <w:style w:type="character" w:customStyle="1" w:styleId="NogaZnak">
    <w:name w:val="Noga Znak"/>
    <w:basedOn w:val="Privzetapisavaodstavka"/>
    <w:link w:val="Noga"/>
    <w:uiPriority w:val="99"/>
    <w:rsid w:val="009C537F"/>
  </w:style>
  <w:style w:type="table" w:styleId="Tabelamrea">
    <w:name w:val="Table Grid"/>
    <w:basedOn w:val="Navadnatabela"/>
    <w:uiPriority w:val="59"/>
    <w:rsid w:val="005939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ga-KPK">
    <w:name w:val="Noga-KPK"/>
    <w:basedOn w:val="Noga"/>
    <w:qFormat/>
    <w:rsid w:val="00593949"/>
    <w:pPr>
      <w:spacing w:line="160" w:lineRule="exact"/>
    </w:pPr>
    <w:rPr>
      <w:rFonts w:ascii="Arial Narrow" w:hAnsi="Arial Narrow" w:cs="Calibri"/>
      <w:sz w:val="16"/>
      <w:szCs w:val="16"/>
    </w:rPr>
  </w:style>
  <w:style w:type="paragraph" w:styleId="Besedilooblaka">
    <w:name w:val="Balloon Text"/>
    <w:basedOn w:val="Navaden"/>
    <w:link w:val="BesedilooblakaZnak"/>
    <w:uiPriority w:val="99"/>
    <w:semiHidden/>
    <w:unhideWhenUsed/>
    <w:rsid w:val="00E3372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3372C"/>
    <w:rPr>
      <w:rFonts w:ascii="Tahoma" w:hAnsi="Tahoma" w:cs="Tahoma"/>
      <w:sz w:val="16"/>
      <w:szCs w:val="16"/>
      <w:lang w:eastAsia="en-US"/>
    </w:rPr>
  </w:style>
  <w:style w:type="paragraph" w:styleId="Naslov">
    <w:name w:val="Title"/>
    <w:basedOn w:val="Navaden"/>
    <w:next w:val="Navaden"/>
    <w:link w:val="NaslovZnak"/>
    <w:uiPriority w:val="10"/>
    <w:qFormat/>
    <w:rsid w:val="005136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5136C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slov1Znak">
    <w:name w:val="Naslov 1 Znak"/>
    <w:basedOn w:val="Privzetapisavaodstavka"/>
    <w:link w:val="Naslov1"/>
    <w:uiPriority w:val="9"/>
    <w:rsid w:val="00470F98"/>
    <w:rPr>
      <w:rFonts w:asciiTheme="majorHAnsi" w:eastAsiaTheme="majorEastAsia" w:hAnsiTheme="majorHAnsi" w:cstheme="majorBidi"/>
      <w:b/>
      <w:bCs/>
      <w:color w:val="365F91" w:themeColor="accent1" w:themeShade="BF"/>
      <w:sz w:val="28"/>
      <w:szCs w:val="28"/>
      <w:lang w:eastAsia="en-US"/>
    </w:rPr>
  </w:style>
  <w:style w:type="paragraph" w:styleId="Odstavekseznama">
    <w:name w:val="List Paragraph"/>
    <w:basedOn w:val="Navaden"/>
    <w:uiPriority w:val="34"/>
    <w:qFormat/>
    <w:rsid w:val="005136C4"/>
    <w:pPr>
      <w:ind w:left="720"/>
      <w:contextualSpacing/>
    </w:pPr>
  </w:style>
  <w:style w:type="character" w:styleId="Hiperpovezava">
    <w:name w:val="Hyperlink"/>
    <w:basedOn w:val="Privzetapisavaodstavka"/>
    <w:uiPriority w:val="99"/>
    <w:unhideWhenUsed/>
    <w:rsid w:val="005136C4"/>
    <w:rPr>
      <w:color w:val="0000FF" w:themeColor="hyperlink"/>
      <w:u w:val="single"/>
    </w:rPr>
  </w:style>
  <w:style w:type="character" w:styleId="SledenaHiperpovezava">
    <w:name w:val="FollowedHyperlink"/>
    <w:basedOn w:val="Privzetapisavaodstavka"/>
    <w:uiPriority w:val="99"/>
    <w:semiHidden/>
    <w:unhideWhenUsed/>
    <w:rsid w:val="005136C4"/>
    <w:rPr>
      <w:color w:val="800080" w:themeColor="followedHyperlink"/>
      <w:u w:val="single"/>
    </w:rPr>
  </w:style>
  <w:style w:type="character" w:customStyle="1" w:styleId="Naslov2Znak">
    <w:name w:val="Naslov 2 Znak"/>
    <w:basedOn w:val="Privzetapisavaodstavka"/>
    <w:link w:val="Naslov2"/>
    <w:uiPriority w:val="9"/>
    <w:rsid w:val="00B9219B"/>
    <w:rPr>
      <w:rFonts w:asciiTheme="majorHAnsi" w:eastAsiaTheme="majorEastAsia" w:hAnsiTheme="majorHAnsi" w:cstheme="majorBidi"/>
      <w:b/>
      <w:bCs/>
      <w:color w:val="4F81BD" w:themeColor="accent1"/>
      <w:sz w:val="26"/>
      <w:szCs w:val="26"/>
      <w:lang w:eastAsia="en-US"/>
    </w:rPr>
  </w:style>
  <w:style w:type="paragraph" w:styleId="Sprotnaopomba-besedilo">
    <w:name w:val="footnote text"/>
    <w:basedOn w:val="Navaden"/>
    <w:link w:val="Sprotnaopomba-besediloZnak"/>
    <w:uiPriority w:val="99"/>
    <w:semiHidden/>
    <w:unhideWhenUsed/>
    <w:rsid w:val="003B22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B2224"/>
    <w:rPr>
      <w:lang w:eastAsia="en-US"/>
    </w:rPr>
  </w:style>
  <w:style w:type="character" w:styleId="Sprotnaopomba-sklic">
    <w:name w:val="footnote reference"/>
    <w:basedOn w:val="Privzetapisavaodstavka"/>
    <w:uiPriority w:val="99"/>
    <w:semiHidden/>
    <w:unhideWhenUsed/>
    <w:rsid w:val="003B22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2C41"/>
    <w:pPr>
      <w:spacing w:after="200" w:line="276" w:lineRule="auto"/>
      <w:jc w:val="both"/>
    </w:pPr>
    <w:rPr>
      <w:sz w:val="22"/>
      <w:szCs w:val="22"/>
      <w:lang w:eastAsia="en-US"/>
    </w:rPr>
  </w:style>
  <w:style w:type="paragraph" w:styleId="Naslov1">
    <w:name w:val="heading 1"/>
    <w:basedOn w:val="Navaden"/>
    <w:next w:val="Navaden"/>
    <w:link w:val="Naslov1Znak"/>
    <w:uiPriority w:val="9"/>
    <w:qFormat/>
    <w:rsid w:val="00470F98"/>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B921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53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C537F"/>
  </w:style>
  <w:style w:type="paragraph" w:styleId="Noga">
    <w:name w:val="footer"/>
    <w:basedOn w:val="Navaden"/>
    <w:link w:val="NogaZnak"/>
    <w:uiPriority w:val="99"/>
    <w:unhideWhenUsed/>
    <w:rsid w:val="009C537F"/>
    <w:pPr>
      <w:tabs>
        <w:tab w:val="center" w:pos="4536"/>
        <w:tab w:val="right" w:pos="9072"/>
      </w:tabs>
      <w:spacing w:after="0" w:line="240" w:lineRule="auto"/>
    </w:pPr>
  </w:style>
  <w:style w:type="character" w:customStyle="1" w:styleId="NogaZnak">
    <w:name w:val="Noga Znak"/>
    <w:basedOn w:val="Privzetapisavaodstavka"/>
    <w:link w:val="Noga"/>
    <w:uiPriority w:val="99"/>
    <w:rsid w:val="009C537F"/>
  </w:style>
  <w:style w:type="table" w:styleId="Tabelamrea">
    <w:name w:val="Table Grid"/>
    <w:basedOn w:val="Navadnatabela"/>
    <w:uiPriority w:val="59"/>
    <w:rsid w:val="005939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ga-KPK">
    <w:name w:val="Noga-KPK"/>
    <w:basedOn w:val="Noga"/>
    <w:qFormat/>
    <w:rsid w:val="00593949"/>
    <w:pPr>
      <w:spacing w:line="160" w:lineRule="exact"/>
    </w:pPr>
    <w:rPr>
      <w:rFonts w:ascii="Arial Narrow" w:hAnsi="Arial Narrow" w:cs="Calibri"/>
      <w:sz w:val="16"/>
      <w:szCs w:val="16"/>
    </w:rPr>
  </w:style>
  <w:style w:type="paragraph" w:styleId="Besedilooblaka">
    <w:name w:val="Balloon Text"/>
    <w:basedOn w:val="Navaden"/>
    <w:link w:val="BesedilooblakaZnak"/>
    <w:uiPriority w:val="99"/>
    <w:semiHidden/>
    <w:unhideWhenUsed/>
    <w:rsid w:val="00E3372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3372C"/>
    <w:rPr>
      <w:rFonts w:ascii="Tahoma" w:hAnsi="Tahoma" w:cs="Tahoma"/>
      <w:sz w:val="16"/>
      <w:szCs w:val="16"/>
      <w:lang w:eastAsia="en-US"/>
    </w:rPr>
  </w:style>
  <w:style w:type="paragraph" w:styleId="Naslov">
    <w:name w:val="Title"/>
    <w:basedOn w:val="Navaden"/>
    <w:next w:val="Navaden"/>
    <w:link w:val="NaslovZnak"/>
    <w:uiPriority w:val="10"/>
    <w:qFormat/>
    <w:rsid w:val="005136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5136C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slov1Znak">
    <w:name w:val="Naslov 1 Znak"/>
    <w:basedOn w:val="Privzetapisavaodstavka"/>
    <w:link w:val="Naslov1"/>
    <w:uiPriority w:val="9"/>
    <w:rsid w:val="00470F98"/>
    <w:rPr>
      <w:rFonts w:asciiTheme="majorHAnsi" w:eastAsiaTheme="majorEastAsia" w:hAnsiTheme="majorHAnsi" w:cstheme="majorBidi"/>
      <w:b/>
      <w:bCs/>
      <w:color w:val="365F91" w:themeColor="accent1" w:themeShade="BF"/>
      <w:sz w:val="28"/>
      <w:szCs w:val="28"/>
      <w:lang w:eastAsia="en-US"/>
    </w:rPr>
  </w:style>
  <w:style w:type="paragraph" w:styleId="Odstavekseznama">
    <w:name w:val="List Paragraph"/>
    <w:basedOn w:val="Navaden"/>
    <w:uiPriority w:val="34"/>
    <w:qFormat/>
    <w:rsid w:val="005136C4"/>
    <w:pPr>
      <w:ind w:left="720"/>
      <w:contextualSpacing/>
    </w:pPr>
  </w:style>
  <w:style w:type="character" w:styleId="Hiperpovezava">
    <w:name w:val="Hyperlink"/>
    <w:basedOn w:val="Privzetapisavaodstavka"/>
    <w:uiPriority w:val="99"/>
    <w:unhideWhenUsed/>
    <w:rsid w:val="005136C4"/>
    <w:rPr>
      <w:color w:val="0000FF" w:themeColor="hyperlink"/>
      <w:u w:val="single"/>
    </w:rPr>
  </w:style>
  <w:style w:type="character" w:styleId="SledenaHiperpovezava">
    <w:name w:val="FollowedHyperlink"/>
    <w:basedOn w:val="Privzetapisavaodstavka"/>
    <w:uiPriority w:val="99"/>
    <w:semiHidden/>
    <w:unhideWhenUsed/>
    <w:rsid w:val="005136C4"/>
    <w:rPr>
      <w:color w:val="800080" w:themeColor="followedHyperlink"/>
      <w:u w:val="single"/>
    </w:rPr>
  </w:style>
  <w:style w:type="character" w:customStyle="1" w:styleId="Naslov2Znak">
    <w:name w:val="Naslov 2 Znak"/>
    <w:basedOn w:val="Privzetapisavaodstavka"/>
    <w:link w:val="Naslov2"/>
    <w:uiPriority w:val="9"/>
    <w:rsid w:val="00B9219B"/>
    <w:rPr>
      <w:rFonts w:asciiTheme="majorHAnsi" w:eastAsiaTheme="majorEastAsia" w:hAnsiTheme="majorHAnsi" w:cstheme="majorBidi"/>
      <w:b/>
      <w:bCs/>
      <w:color w:val="4F81BD" w:themeColor="accent1"/>
      <w:sz w:val="26"/>
      <w:szCs w:val="26"/>
      <w:lang w:eastAsia="en-US"/>
    </w:rPr>
  </w:style>
  <w:style w:type="paragraph" w:styleId="Sprotnaopomba-besedilo">
    <w:name w:val="footnote text"/>
    <w:basedOn w:val="Navaden"/>
    <w:link w:val="Sprotnaopomba-besediloZnak"/>
    <w:uiPriority w:val="99"/>
    <w:semiHidden/>
    <w:unhideWhenUsed/>
    <w:rsid w:val="003B22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B2224"/>
    <w:rPr>
      <w:lang w:eastAsia="en-US"/>
    </w:rPr>
  </w:style>
  <w:style w:type="character" w:styleId="Sprotnaopomba-sklic">
    <w:name w:val="footnote reference"/>
    <w:basedOn w:val="Privzetapisavaodstavka"/>
    <w:uiPriority w:val="99"/>
    <w:semiHidden/>
    <w:unhideWhenUsed/>
    <w:rsid w:val="003B2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sllabs.com/ssltest/analyze.html?d=registri.kpk-r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prava.gov.si/o-e-upravi/pogoji-uporab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registri.kpk-rs.si/registri/" TargetMode="External"/><Relationship Id="rId4" Type="http://schemas.microsoft.com/office/2007/relationships/stylesWithEffects" Target="stylesWithEffects.xml"/><Relationship Id="rId9" Type="http://schemas.openxmlformats.org/officeDocument/2006/relationships/hyperlink" Target="https://e-uprava.gov.si/podrocja/drzava-druzba/porocanje-komisiji-za-preprecevanje-korupcije/prijava-premozenjskega-stanja.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GP2020\glava_SLO0809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9A64-3CE4-4420-918B-1D426AF8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glava_SLO08092020.dotx</Template>
  <TotalTime>132</TotalTime>
  <Pages>3</Pages>
  <Words>1206</Words>
  <Characters>6876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 Langof</dc:creator>
  <cp:lastModifiedBy>Lado Langof</cp:lastModifiedBy>
  <cp:revision>25</cp:revision>
  <cp:lastPrinted>2020-09-08T11:41:00Z</cp:lastPrinted>
  <dcterms:created xsi:type="dcterms:W3CDTF">2021-07-21T04:55:00Z</dcterms:created>
  <dcterms:modified xsi:type="dcterms:W3CDTF">2021-08-09T05:57:00Z</dcterms:modified>
</cp:coreProperties>
</file>