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DB" w:rsidRPr="00BD46CA" w:rsidRDefault="00F44DDB" w:rsidP="00F44DDB">
      <w:pPr>
        <w:jc w:val="both"/>
        <w:rPr>
          <w:rFonts w:ascii="Arial Narrow" w:hAnsi="Arial Narrow" w:cs="Arial"/>
          <w:iCs/>
          <w:sz w:val="20"/>
          <w:szCs w:val="20"/>
        </w:rPr>
      </w:pPr>
      <w:r w:rsidRPr="00BD46CA">
        <w:rPr>
          <w:rFonts w:ascii="Arial Narrow" w:hAnsi="Arial Narrow" w:cs="Arial"/>
          <w:iCs/>
          <w:sz w:val="20"/>
          <w:szCs w:val="20"/>
        </w:rPr>
        <w:t xml:space="preserve">Senat komisije je na podlagi vpogleda v vsebino zadeve na </w:t>
      </w:r>
      <w:r>
        <w:rPr>
          <w:rFonts w:ascii="Arial Narrow" w:hAnsi="Arial Narrow" w:cs="Arial"/>
          <w:iCs/>
          <w:sz w:val="20"/>
          <w:szCs w:val="20"/>
        </w:rPr>
        <w:t xml:space="preserve">39. </w:t>
      </w:r>
      <w:r w:rsidRPr="00BD46CA">
        <w:rPr>
          <w:rFonts w:ascii="Arial Narrow" w:hAnsi="Arial Narrow" w:cs="Arial"/>
          <w:iCs/>
          <w:sz w:val="20"/>
          <w:szCs w:val="20"/>
        </w:rPr>
        <w:t xml:space="preserve">seji dne </w:t>
      </w:r>
      <w:r>
        <w:rPr>
          <w:rFonts w:ascii="Arial Narrow" w:eastAsia="Courier New" w:hAnsi="Arial Narrow" w:cs="Arial"/>
          <w:sz w:val="20"/>
          <w:szCs w:val="20"/>
          <w:lang w:eastAsia="ar-SA"/>
        </w:rPr>
        <w:t>29. 11. 2018</w:t>
      </w:r>
      <w:r w:rsidRPr="00BD46CA">
        <w:rPr>
          <w:rFonts w:ascii="Arial Narrow" w:eastAsia="Courier New" w:hAnsi="Arial Narrow" w:cs="Arial"/>
          <w:sz w:val="20"/>
          <w:szCs w:val="20"/>
          <w:lang w:eastAsia="ar-SA"/>
        </w:rPr>
        <w:t xml:space="preserve"> </w:t>
      </w:r>
      <w:r w:rsidRPr="00BD46CA">
        <w:rPr>
          <w:rFonts w:ascii="Arial Narrow" w:hAnsi="Arial Narrow" w:cs="Arial"/>
          <w:iCs/>
          <w:sz w:val="20"/>
          <w:szCs w:val="20"/>
        </w:rPr>
        <w:t xml:space="preserve">sprejel sklep, da se sprejme </w:t>
      </w:r>
      <w:r>
        <w:rPr>
          <w:rFonts w:ascii="Arial Narrow" w:hAnsi="Arial Narrow" w:cs="Arial"/>
          <w:iCs/>
          <w:sz w:val="20"/>
          <w:szCs w:val="20"/>
        </w:rPr>
        <w:t>Poročilo tematskega nadzora Občine Ribnica v mandatu 2014 - 2018, katerega povzetek je predstavljen v nadaljevanju.</w:t>
      </w:r>
    </w:p>
    <w:p w:rsidR="00F44DDB" w:rsidRDefault="00F44DDB" w:rsidP="00950741">
      <w:pPr>
        <w:spacing w:line="276" w:lineRule="auto"/>
        <w:jc w:val="both"/>
        <w:rPr>
          <w:rFonts w:ascii="Arial Narrow" w:hAnsi="Arial Narrow"/>
          <w:b/>
          <w:sz w:val="20"/>
          <w:szCs w:val="20"/>
        </w:rPr>
      </w:pPr>
    </w:p>
    <w:p w:rsidR="00F44DDB" w:rsidRDefault="00F44DDB" w:rsidP="00950741">
      <w:pPr>
        <w:spacing w:line="276" w:lineRule="auto"/>
        <w:jc w:val="both"/>
        <w:rPr>
          <w:rFonts w:ascii="Arial Narrow" w:hAnsi="Arial Narrow"/>
          <w:b/>
          <w:sz w:val="20"/>
          <w:szCs w:val="20"/>
        </w:rPr>
      </w:pPr>
    </w:p>
    <w:p w:rsidR="00950741" w:rsidRPr="00BD46CA" w:rsidRDefault="00F44DDB" w:rsidP="00950741">
      <w:pPr>
        <w:spacing w:line="276" w:lineRule="auto"/>
        <w:jc w:val="both"/>
        <w:rPr>
          <w:rFonts w:ascii="Arial Narrow" w:hAnsi="Arial Narrow"/>
          <w:b/>
          <w:sz w:val="20"/>
          <w:szCs w:val="20"/>
        </w:rPr>
      </w:pPr>
      <w:r>
        <w:rPr>
          <w:rFonts w:ascii="Arial Narrow" w:hAnsi="Arial Narrow"/>
          <w:b/>
          <w:sz w:val="20"/>
          <w:szCs w:val="20"/>
        </w:rPr>
        <w:t>POVZETEK POROČILA TEMATSKEGA NADZORA OBČINE RIBNICA V MANDATU 2014 - 2018</w:t>
      </w:r>
    </w:p>
    <w:p w:rsidR="00950741" w:rsidRPr="00BD46CA" w:rsidRDefault="00950741" w:rsidP="00950741">
      <w:pPr>
        <w:spacing w:line="276" w:lineRule="auto"/>
        <w:jc w:val="both"/>
        <w:rPr>
          <w:rFonts w:ascii="Arial Narrow" w:hAnsi="Arial Narrow"/>
          <w:b/>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Osnovni namen tematskega nadzora je svetovanje in strokovna pomoč subjektu javnega sektorja pri uresničevanju določb Z</w:t>
      </w:r>
      <w:r w:rsidR="00CE4E1D">
        <w:rPr>
          <w:rFonts w:ascii="Arial Narrow" w:hAnsi="Arial Narrow"/>
          <w:sz w:val="20"/>
          <w:szCs w:val="20"/>
        </w:rPr>
        <w:t xml:space="preserve">akona o integriteti in preprečevanju korupcije </w:t>
      </w:r>
      <w:r w:rsidR="00CE4E1D" w:rsidRPr="00BD46CA">
        <w:rPr>
          <w:rFonts w:ascii="Arial Narrow" w:hAnsi="Arial Narrow"/>
          <w:sz w:val="20"/>
          <w:szCs w:val="20"/>
        </w:rPr>
        <w:t>(Uradni list RS, št. 69/11 – uradno prečiščeno besedilo, v nadaljevanju ZIntPK)</w:t>
      </w:r>
      <w:r w:rsidR="00CE4E1D">
        <w:rPr>
          <w:rFonts w:ascii="Arial Narrow" w:hAnsi="Arial Narrow"/>
          <w:sz w:val="20"/>
          <w:szCs w:val="20"/>
        </w:rPr>
        <w:t xml:space="preserve">. </w:t>
      </w:r>
      <w:r w:rsidRPr="00BD46CA">
        <w:rPr>
          <w:rFonts w:ascii="Arial Narrow" w:hAnsi="Arial Narrow"/>
          <w:sz w:val="20"/>
          <w:szCs w:val="20"/>
        </w:rPr>
        <w:t xml:space="preserve"> Komisija z izvedbo tematskega nadzora subjektu javnega sektorja s preučitvijo konkretnega uresničevanja določb pri določenih institutih pomaga identificirati morebitna še </w:t>
      </w:r>
      <w:proofErr w:type="spellStart"/>
      <w:r w:rsidRPr="00BD46CA">
        <w:rPr>
          <w:rFonts w:ascii="Arial Narrow" w:hAnsi="Arial Narrow"/>
          <w:sz w:val="20"/>
          <w:szCs w:val="20"/>
        </w:rPr>
        <w:t>nezaznana</w:t>
      </w:r>
      <w:proofErr w:type="spellEnd"/>
      <w:r w:rsidRPr="00BD46CA">
        <w:rPr>
          <w:rFonts w:ascii="Arial Narrow" w:hAnsi="Arial Narrow"/>
          <w:sz w:val="20"/>
          <w:szCs w:val="20"/>
        </w:rPr>
        <w:t xml:space="preserve"> korupcijska tveganja, hkrati pa s preučitvijo konkretnih podatkov in dokumentacije tudi zaznava sume kršitev določb ZIntPK. Če se pri opravljanju nalog v okviru tematskega nadzora zazna konkretne razloge za sum korupcije in sum drugih kršitev po ZIntPK, kaznivih dejanj ali drugih kaznivih ravnanj, obravnava teh poteka v posebnem postopku po ZIntPK ali drugih zakonih.</w:t>
      </w:r>
    </w:p>
    <w:p w:rsidR="00950741" w:rsidRPr="00BD46CA" w:rsidRDefault="00950741" w:rsidP="00950741">
      <w:pPr>
        <w:suppressAutoHyphens/>
        <w:spacing w:line="276" w:lineRule="auto"/>
        <w:contextualSpacing/>
        <w:jc w:val="both"/>
        <w:rPr>
          <w:rFonts w:ascii="Arial Narrow" w:hAnsi="Arial Narrow"/>
          <w:sz w:val="20"/>
          <w:szCs w:val="20"/>
        </w:rPr>
      </w:pPr>
    </w:p>
    <w:p w:rsidR="00950741" w:rsidRPr="00BD46CA" w:rsidRDefault="00950741" w:rsidP="00950741">
      <w:pPr>
        <w:suppressAutoHyphens/>
        <w:spacing w:line="276" w:lineRule="auto"/>
        <w:contextualSpacing/>
        <w:jc w:val="both"/>
        <w:rPr>
          <w:rFonts w:ascii="Arial Narrow" w:eastAsia="SimSun" w:hAnsi="Arial Narrow" w:cs="Calibri"/>
          <w:sz w:val="20"/>
          <w:szCs w:val="20"/>
        </w:rPr>
      </w:pPr>
      <w:r w:rsidRPr="00BD46CA">
        <w:rPr>
          <w:rFonts w:ascii="Arial Narrow" w:hAnsi="Arial Narrow"/>
          <w:sz w:val="20"/>
          <w:szCs w:val="20"/>
        </w:rPr>
        <w:t xml:space="preserve">Komisija se je v konkretnem primeru odločila, da bo za mandatno obdobje od 2014 do 2018 izvedla tematski nadzor </w:t>
      </w:r>
      <w:r w:rsidRPr="00BD46CA">
        <w:rPr>
          <w:rFonts w:ascii="Arial Narrow" w:eastAsia="SimSun" w:hAnsi="Arial Narrow" w:cs="Calibri"/>
          <w:sz w:val="20"/>
          <w:szCs w:val="20"/>
        </w:rPr>
        <w:t xml:space="preserve">nad izvajanjem določb ZIntPK </w:t>
      </w:r>
      <w:r w:rsidRPr="00BD46CA">
        <w:rPr>
          <w:rFonts w:ascii="Arial Narrow" w:hAnsi="Arial Narrow"/>
          <w:sz w:val="20"/>
          <w:szCs w:val="20"/>
        </w:rPr>
        <w:t xml:space="preserve">v subjektu javnega sektorja na lokalni ravni </w:t>
      </w:r>
      <w:r w:rsidRPr="00BD46CA">
        <w:rPr>
          <w:rFonts w:ascii="Arial Narrow" w:eastAsia="SimSun" w:hAnsi="Arial Narrow" w:cs="Calibri"/>
          <w:sz w:val="20"/>
          <w:szCs w:val="20"/>
        </w:rPr>
        <w:t xml:space="preserve">glede </w:t>
      </w:r>
      <w:r w:rsidRPr="00BD46CA">
        <w:rPr>
          <w:rFonts w:ascii="Arial Narrow" w:hAnsi="Arial Narrow"/>
          <w:sz w:val="20"/>
          <w:szCs w:val="20"/>
        </w:rPr>
        <w:t>sledečih institutov</w:t>
      </w:r>
      <w:r w:rsidRPr="00BD46CA">
        <w:rPr>
          <w:rFonts w:ascii="Arial Narrow" w:eastAsia="SimSun" w:hAnsi="Arial Narrow" w:cs="Calibri"/>
          <w:sz w:val="20"/>
          <w:szCs w:val="20"/>
        </w:rPr>
        <w:t xml:space="preserve">: </w:t>
      </w:r>
    </w:p>
    <w:p w:rsidR="00950741" w:rsidRPr="00BD46CA" w:rsidRDefault="00950741" w:rsidP="00950741">
      <w:pPr>
        <w:numPr>
          <w:ilvl w:val="0"/>
          <w:numId w:val="3"/>
        </w:numPr>
        <w:suppressAutoHyphens/>
        <w:spacing w:line="276" w:lineRule="auto"/>
        <w:contextualSpacing/>
        <w:jc w:val="both"/>
        <w:rPr>
          <w:rFonts w:ascii="Arial Narrow" w:eastAsia="SimSun" w:hAnsi="Arial Narrow" w:cs="Calibri"/>
          <w:sz w:val="20"/>
          <w:szCs w:val="20"/>
        </w:rPr>
      </w:pPr>
      <w:r w:rsidRPr="00BD46CA">
        <w:rPr>
          <w:rFonts w:ascii="Arial Narrow" w:eastAsia="SimSun" w:hAnsi="Arial Narrow" w:cs="Calibri"/>
          <w:sz w:val="20"/>
          <w:szCs w:val="20"/>
        </w:rPr>
        <w:t>nezdružljivost opravljanja funkcij,</w:t>
      </w:r>
    </w:p>
    <w:p w:rsidR="00950741" w:rsidRPr="00BD46CA" w:rsidRDefault="00950741" w:rsidP="00950741">
      <w:pPr>
        <w:numPr>
          <w:ilvl w:val="0"/>
          <w:numId w:val="3"/>
        </w:numPr>
        <w:suppressAutoHyphens/>
        <w:spacing w:line="276" w:lineRule="auto"/>
        <w:contextualSpacing/>
        <w:jc w:val="both"/>
        <w:rPr>
          <w:rFonts w:ascii="Arial Narrow" w:eastAsia="SimSun" w:hAnsi="Arial Narrow" w:cs="Calibri"/>
          <w:sz w:val="20"/>
          <w:szCs w:val="20"/>
        </w:rPr>
      </w:pPr>
      <w:r w:rsidRPr="00BD46CA">
        <w:rPr>
          <w:rFonts w:ascii="Arial Narrow" w:eastAsia="SimSun" w:hAnsi="Arial Narrow" w:cs="Calibri"/>
          <w:sz w:val="20"/>
          <w:szCs w:val="20"/>
        </w:rPr>
        <w:t xml:space="preserve">prepoved članstva in dejavnosti, </w:t>
      </w:r>
    </w:p>
    <w:p w:rsidR="00950741" w:rsidRPr="00BD46CA" w:rsidRDefault="00950741" w:rsidP="00950741">
      <w:pPr>
        <w:numPr>
          <w:ilvl w:val="0"/>
          <w:numId w:val="3"/>
        </w:numPr>
        <w:suppressAutoHyphens/>
        <w:spacing w:line="276" w:lineRule="auto"/>
        <w:contextualSpacing/>
        <w:jc w:val="both"/>
        <w:rPr>
          <w:rFonts w:ascii="Arial Narrow" w:eastAsia="SimSun" w:hAnsi="Arial Narrow" w:cs="Calibri"/>
          <w:sz w:val="20"/>
          <w:szCs w:val="20"/>
        </w:rPr>
      </w:pPr>
      <w:r w:rsidRPr="00BD46CA">
        <w:rPr>
          <w:rFonts w:ascii="Arial Narrow" w:eastAsia="SimSun" w:hAnsi="Arial Narrow" w:cs="Calibri"/>
          <w:sz w:val="20"/>
          <w:szCs w:val="20"/>
        </w:rPr>
        <w:t xml:space="preserve">prepoved in omejitve sprejemanja daril, </w:t>
      </w:r>
    </w:p>
    <w:p w:rsidR="00950741" w:rsidRPr="00BD46CA" w:rsidRDefault="00950741" w:rsidP="00950741">
      <w:pPr>
        <w:numPr>
          <w:ilvl w:val="0"/>
          <w:numId w:val="3"/>
        </w:numPr>
        <w:suppressAutoHyphens/>
        <w:spacing w:line="276" w:lineRule="auto"/>
        <w:contextualSpacing/>
        <w:jc w:val="both"/>
        <w:rPr>
          <w:rFonts w:ascii="Arial Narrow" w:eastAsia="SimSun" w:hAnsi="Arial Narrow" w:cs="Calibri"/>
          <w:sz w:val="20"/>
          <w:szCs w:val="20"/>
        </w:rPr>
      </w:pPr>
      <w:r w:rsidRPr="00BD46CA">
        <w:rPr>
          <w:rFonts w:ascii="Arial Narrow" w:eastAsia="SimSun" w:hAnsi="Arial Narrow" w:cs="Calibri"/>
          <w:sz w:val="20"/>
          <w:szCs w:val="20"/>
        </w:rPr>
        <w:t>omejitve poslovanja (vključno s preverjanjem vključitve protikorupcijske klavzule v okviru pogodb, pridobljenih za namen nadzora omejitev poslovanja) ter</w:t>
      </w:r>
    </w:p>
    <w:p w:rsidR="00950741" w:rsidRPr="00BD46CA" w:rsidRDefault="00950741" w:rsidP="00950741">
      <w:pPr>
        <w:numPr>
          <w:ilvl w:val="0"/>
          <w:numId w:val="3"/>
        </w:numPr>
        <w:suppressAutoHyphens/>
        <w:spacing w:line="276" w:lineRule="auto"/>
        <w:contextualSpacing/>
        <w:jc w:val="both"/>
        <w:rPr>
          <w:rFonts w:ascii="Arial Narrow" w:eastAsia="SimSun" w:hAnsi="Arial Narrow" w:cs="Calibri"/>
          <w:sz w:val="20"/>
          <w:szCs w:val="20"/>
        </w:rPr>
      </w:pPr>
      <w:r w:rsidRPr="00BD46CA">
        <w:rPr>
          <w:rFonts w:ascii="Arial Narrow" w:eastAsia="SimSun" w:hAnsi="Arial Narrow" w:cs="Calibri"/>
          <w:sz w:val="20"/>
          <w:szCs w:val="20"/>
        </w:rPr>
        <w:t>nasprotje interesov.</w:t>
      </w:r>
    </w:p>
    <w:p w:rsidR="00950741" w:rsidRPr="00BD46CA" w:rsidRDefault="00950741" w:rsidP="00950741">
      <w:pPr>
        <w:suppressAutoHyphens/>
        <w:spacing w:line="276" w:lineRule="auto"/>
        <w:contextualSpacing/>
        <w:jc w:val="both"/>
        <w:rPr>
          <w:rFonts w:ascii="Arial Narrow" w:eastAsia="SimSun" w:hAnsi="Arial Narrow" w:cs="Calibri"/>
          <w:sz w:val="20"/>
          <w:szCs w:val="20"/>
        </w:rPr>
      </w:pPr>
    </w:p>
    <w:p w:rsidR="00950741" w:rsidRDefault="00950741" w:rsidP="00477009">
      <w:pPr>
        <w:suppressAutoHyphens/>
        <w:spacing w:line="276" w:lineRule="auto"/>
        <w:contextualSpacing/>
        <w:jc w:val="both"/>
        <w:rPr>
          <w:rFonts w:ascii="Arial Narrow" w:eastAsia="SimSun" w:hAnsi="Arial Narrow" w:cs="Calibri"/>
          <w:sz w:val="20"/>
          <w:szCs w:val="20"/>
        </w:rPr>
      </w:pPr>
      <w:r w:rsidRPr="00BD46CA">
        <w:rPr>
          <w:rFonts w:ascii="Arial Narrow" w:eastAsia="SimSun" w:hAnsi="Arial Narrow" w:cs="Calibri"/>
          <w:sz w:val="20"/>
          <w:szCs w:val="20"/>
        </w:rPr>
        <w:t xml:space="preserve">Komisija namreč za področje lokalne samouprave pri zgoraj navedenih institutih vsa leta od veljavnosti določb ZIntPK pri posameznih izmed njih ugotavlja povečano izpostavljenost kršitvam le teh. Hkrati je nepoznavanje določb ZIntPK glede navedenih institutov na ravni lokalne samouprave razvidno tudi iz vsebine in števila vprašanj, ki jih redno prejema komisija. </w:t>
      </w:r>
      <w:r w:rsidR="00F44DDB">
        <w:rPr>
          <w:rFonts w:ascii="Arial Narrow" w:eastAsia="SimSun" w:hAnsi="Arial Narrow" w:cs="Calibri"/>
          <w:sz w:val="20"/>
          <w:szCs w:val="20"/>
        </w:rPr>
        <w:t>Z</w:t>
      </w:r>
      <w:r w:rsidRPr="00BD46CA">
        <w:rPr>
          <w:rFonts w:ascii="Arial Narrow" w:hAnsi="Arial Narrow" w:cs="Arial"/>
          <w:sz w:val="20"/>
          <w:szCs w:val="20"/>
        </w:rPr>
        <w:t xml:space="preserve">a izvedbo tematskega nadzora </w:t>
      </w:r>
      <w:r w:rsidR="00F44DDB">
        <w:rPr>
          <w:rFonts w:ascii="Arial Narrow" w:hAnsi="Arial Narrow" w:cs="Arial"/>
          <w:sz w:val="20"/>
          <w:szCs w:val="20"/>
        </w:rPr>
        <w:t xml:space="preserve">je </w:t>
      </w:r>
      <w:r w:rsidR="00A4543E">
        <w:rPr>
          <w:rFonts w:ascii="Arial Narrow" w:hAnsi="Arial Narrow" w:cs="Arial"/>
          <w:sz w:val="20"/>
          <w:szCs w:val="20"/>
        </w:rPr>
        <w:t xml:space="preserve">komisija izžrebala </w:t>
      </w:r>
      <w:r w:rsidRPr="00BD46CA">
        <w:rPr>
          <w:rFonts w:ascii="Arial Narrow" w:hAnsi="Arial Narrow" w:cs="Arial"/>
          <w:sz w:val="20"/>
          <w:szCs w:val="20"/>
        </w:rPr>
        <w:t>Občin</w:t>
      </w:r>
      <w:r w:rsidR="00A4543E">
        <w:rPr>
          <w:rFonts w:ascii="Arial Narrow" w:hAnsi="Arial Narrow" w:cs="Arial"/>
          <w:sz w:val="20"/>
          <w:szCs w:val="20"/>
        </w:rPr>
        <w:t>o</w:t>
      </w:r>
      <w:r w:rsidRPr="00BD46CA">
        <w:rPr>
          <w:rFonts w:ascii="Arial Narrow" w:hAnsi="Arial Narrow" w:cs="Arial"/>
          <w:sz w:val="20"/>
          <w:szCs w:val="20"/>
        </w:rPr>
        <w:t xml:space="preserve"> Ribnica.</w:t>
      </w:r>
    </w:p>
    <w:p w:rsidR="00477009" w:rsidRPr="00477009" w:rsidRDefault="00477009" w:rsidP="00477009">
      <w:pPr>
        <w:suppressAutoHyphens/>
        <w:spacing w:line="276" w:lineRule="auto"/>
        <w:contextualSpacing/>
        <w:jc w:val="both"/>
        <w:rPr>
          <w:rFonts w:ascii="Arial Narrow" w:eastAsia="SimSun" w:hAnsi="Arial Narrow" w:cs="Calibri"/>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Komisija v poročilu na podlagi pridobljenih in pregledanih podatkov in pojasnil Občine Ribnica ugotavlja, da ta v največjem delu spoštuje določbe ZIntPK</w:t>
      </w:r>
      <w:r w:rsidR="001D2037">
        <w:rPr>
          <w:rFonts w:ascii="Arial Narrow" w:hAnsi="Arial Narrow"/>
          <w:sz w:val="20"/>
          <w:szCs w:val="20"/>
        </w:rPr>
        <w:t>.</w:t>
      </w:r>
      <w:r w:rsidRPr="00BD46CA">
        <w:rPr>
          <w:rFonts w:ascii="Arial Narrow" w:hAnsi="Arial Narrow"/>
          <w:sz w:val="20"/>
          <w:szCs w:val="20"/>
        </w:rPr>
        <w:t xml:space="preserve"> </w:t>
      </w:r>
      <w:r w:rsidR="001D2037">
        <w:rPr>
          <w:rFonts w:ascii="Arial Narrow" w:hAnsi="Arial Narrow"/>
          <w:sz w:val="20"/>
          <w:szCs w:val="20"/>
        </w:rPr>
        <w:t>V</w:t>
      </w:r>
      <w:r w:rsidRPr="00BD46CA">
        <w:rPr>
          <w:rFonts w:ascii="Arial Narrow" w:hAnsi="Arial Narrow"/>
          <w:sz w:val="20"/>
          <w:szCs w:val="20"/>
        </w:rPr>
        <w:t xml:space="preserve"> okviru opravljanja nadzora nad sumi kršitev z načrtom dela predvidenih institutov po ZIntPK </w:t>
      </w:r>
      <w:r w:rsidR="001D2037">
        <w:rPr>
          <w:rFonts w:ascii="Arial Narrow" w:hAnsi="Arial Narrow"/>
          <w:sz w:val="20"/>
          <w:szCs w:val="20"/>
        </w:rPr>
        <w:t xml:space="preserve">je bilo </w:t>
      </w:r>
      <w:r w:rsidRPr="00BD46CA">
        <w:rPr>
          <w:rFonts w:ascii="Arial Narrow" w:hAnsi="Arial Narrow"/>
          <w:sz w:val="20"/>
          <w:szCs w:val="20"/>
        </w:rPr>
        <w:t>ugotovljenih nekaj nepravilnosti</w:t>
      </w:r>
      <w:r w:rsidR="00A4543E" w:rsidRPr="00A4543E">
        <w:rPr>
          <w:rFonts w:ascii="Arial Narrow" w:hAnsi="Arial Narrow"/>
          <w:sz w:val="20"/>
          <w:szCs w:val="20"/>
        </w:rPr>
        <w:t xml:space="preserve"> </w:t>
      </w:r>
      <w:r w:rsidR="00A4543E" w:rsidRPr="00BD46CA">
        <w:rPr>
          <w:rFonts w:ascii="Arial Narrow" w:hAnsi="Arial Narrow"/>
          <w:sz w:val="20"/>
          <w:szCs w:val="20"/>
        </w:rPr>
        <w:t>le v posameznih primerih</w:t>
      </w:r>
      <w:r w:rsidRPr="00BD46CA">
        <w:rPr>
          <w:rFonts w:ascii="Arial Narrow" w:hAnsi="Arial Narrow"/>
          <w:sz w:val="20"/>
          <w:szCs w:val="20"/>
        </w:rPr>
        <w:t xml:space="preserve">, v katerih je komisija že uvedla (v nekaterih tudi že zaključila) ustrezne nadaljnje postopke. V nadaljevanju so predstavljeni zaključki in ugotovitve v okviru izvedenega tematskega nadzora nad uresničevanjem določil ZIntPK v Občini Ribnica po posameznem institutu. V okviru predmetnega poročila pa komisija Občini Ribnica z namenom ustreznejšega upravljanja korupcijskih tveganj ter ustreznejšega preprečevanja kršitev posameznih institutov podaja priporočila. </w:t>
      </w:r>
    </w:p>
    <w:p w:rsidR="00950741" w:rsidRPr="00BD46CA" w:rsidRDefault="00950741" w:rsidP="00950741">
      <w:pPr>
        <w:spacing w:line="276" w:lineRule="auto"/>
        <w:jc w:val="both"/>
        <w:rPr>
          <w:rFonts w:ascii="Arial Narrow" w:hAnsi="Arial Narrow"/>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 xml:space="preserve">Občina Ribnica osveščanje funkcionarjev in javnih uslužbencev </w:t>
      </w:r>
      <w:r w:rsidR="00A4543E" w:rsidRPr="00BD46CA">
        <w:rPr>
          <w:rFonts w:ascii="Arial Narrow" w:hAnsi="Arial Narrow"/>
          <w:sz w:val="20"/>
          <w:szCs w:val="20"/>
        </w:rPr>
        <w:t xml:space="preserve">redno </w:t>
      </w:r>
      <w:r w:rsidRPr="00BD46CA">
        <w:rPr>
          <w:rFonts w:ascii="Arial Narrow" w:hAnsi="Arial Narrow"/>
          <w:sz w:val="20"/>
          <w:szCs w:val="20"/>
        </w:rPr>
        <w:t>izvaja po elektronski poti, funkcionarjem posreduje tudi ustrezne obrazce z namen</w:t>
      </w:r>
      <w:r w:rsidR="00A4543E">
        <w:rPr>
          <w:rFonts w:ascii="Arial Narrow" w:hAnsi="Arial Narrow"/>
          <w:sz w:val="20"/>
          <w:szCs w:val="20"/>
        </w:rPr>
        <w:t>om</w:t>
      </w:r>
      <w:r w:rsidRPr="00BD46CA">
        <w:rPr>
          <w:rFonts w:ascii="Arial Narrow" w:hAnsi="Arial Narrow"/>
          <w:sz w:val="20"/>
          <w:szCs w:val="20"/>
        </w:rPr>
        <w:t xml:space="preserve"> izpolnitve njihovih obveznosti glede daril, omejitev poslovanja </w:t>
      </w:r>
      <w:r w:rsidR="00E26043">
        <w:rPr>
          <w:rFonts w:ascii="Arial Narrow" w:hAnsi="Arial Narrow"/>
          <w:sz w:val="20"/>
          <w:szCs w:val="20"/>
        </w:rPr>
        <w:t>in podobno</w:t>
      </w:r>
      <w:r w:rsidRPr="00BD46CA">
        <w:rPr>
          <w:rFonts w:ascii="Arial Narrow" w:hAnsi="Arial Narrow"/>
          <w:sz w:val="20"/>
          <w:szCs w:val="20"/>
        </w:rPr>
        <w:t>, posreduje pa jim tudi obvestila, pojasnila ali sprejeta mnenja komisije v povezavi z instituti po ZIntPK. O vseh obveznostih so obveščeni tudi javni uslužbenci, hkrati pa so se nekateri izmed njih udeležili tudi usposabljanj na temo integritete in korupcije. Komisija je proaktiven pristop in način osveščanja, ki ga izvaja Občina Ribnica</w:t>
      </w:r>
      <w:r w:rsidR="00A4543E">
        <w:rPr>
          <w:rFonts w:ascii="Arial Narrow" w:hAnsi="Arial Narrow"/>
          <w:sz w:val="20"/>
          <w:szCs w:val="20"/>
        </w:rPr>
        <w:t>,</w:t>
      </w:r>
      <w:r w:rsidRPr="00BD46CA">
        <w:rPr>
          <w:rFonts w:ascii="Arial Narrow" w:hAnsi="Arial Narrow"/>
          <w:sz w:val="20"/>
          <w:szCs w:val="20"/>
        </w:rPr>
        <w:t xml:space="preserve"> zaznala tudi preko izvajanja nadzora nad uresničevanjem določb ZIntPK, zato v okviru predmetnega tematskega nadzora ni bilo ugotovljenih večjih, bistvenih ali sistematičnih kršitev določb ZIntPK. </w:t>
      </w:r>
    </w:p>
    <w:p w:rsidR="00950741" w:rsidRPr="00BD46CA" w:rsidRDefault="00950741" w:rsidP="00950741">
      <w:pPr>
        <w:spacing w:line="276" w:lineRule="auto"/>
        <w:jc w:val="both"/>
        <w:rPr>
          <w:rFonts w:ascii="Arial Narrow" w:hAnsi="Arial Narrow"/>
          <w:color w:val="FF0000"/>
          <w:sz w:val="20"/>
          <w:szCs w:val="20"/>
        </w:rPr>
      </w:pPr>
    </w:p>
    <w:p w:rsidR="00950741" w:rsidRPr="00BD46CA" w:rsidRDefault="00950741" w:rsidP="00950741">
      <w:pPr>
        <w:pStyle w:val="PojasniloBodyText"/>
        <w:rPr>
          <w:rFonts w:eastAsia="Times New Roman" w:cs="Arial"/>
          <w:sz w:val="20"/>
          <w:szCs w:val="20"/>
          <w:lang w:eastAsia="sl-SI"/>
        </w:rPr>
      </w:pPr>
      <w:r w:rsidRPr="00BD46CA">
        <w:rPr>
          <w:sz w:val="20"/>
          <w:szCs w:val="20"/>
        </w:rPr>
        <w:t>Edini funkcionar, ki v Občini Ribnica funkcijo opravlja poklicno</w:t>
      </w:r>
      <w:r w:rsidR="001D2037">
        <w:rPr>
          <w:sz w:val="20"/>
          <w:szCs w:val="20"/>
        </w:rPr>
        <w:t>,</w:t>
      </w:r>
      <w:r w:rsidRPr="00BD46CA">
        <w:rPr>
          <w:sz w:val="20"/>
          <w:szCs w:val="20"/>
        </w:rPr>
        <w:t xml:space="preserve"> je župan</w:t>
      </w:r>
      <w:r w:rsidR="00A4543E">
        <w:rPr>
          <w:sz w:val="20"/>
          <w:szCs w:val="20"/>
        </w:rPr>
        <w:t xml:space="preserve"> </w:t>
      </w:r>
      <w:r w:rsidRPr="00BD46CA">
        <w:rPr>
          <w:sz w:val="20"/>
          <w:szCs w:val="20"/>
        </w:rPr>
        <w:t xml:space="preserve">. Ta mora tako ustrezno pozornost posvečati tudi določbam ZIntPK glede nezdružljivosti opravljanja funkcij. Komisija v povezavi z nezdružljivostjo opravljanja funkcij v Občini Ribnica ni ugotovila nepravilnosti. Hkrati mora biti poklicni funkcionar pozoren tudi na upoštevanje določbe prvega odstavka 27. člena ZIntPK, ki ureja prepoved članstva in dejavnosti. Ta pravi, da </w:t>
      </w:r>
      <w:r w:rsidRPr="00BD46CA">
        <w:rPr>
          <w:rFonts w:eastAsia="Times New Roman" w:cs="Arial"/>
          <w:sz w:val="20"/>
          <w:szCs w:val="20"/>
          <w:lang w:eastAsia="sl-SI"/>
        </w:rPr>
        <w:t>poklicni funkcionar ne sme biti član oziroma opravljati dejavnosti </w:t>
      </w:r>
      <w:r w:rsidRPr="00BD46CA">
        <w:rPr>
          <w:rFonts w:eastAsia="Times New Roman" w:cs="Arial"/>
          <w:bCs/>
          <w:sz w:val="20"/>
          <w:szCs w:val="20"/>
          <w:bdr w:val="none" w:sz="0" w:space="0" w:color="auto" w:frame="1"/>
          <w:lang w:eastAsia="sl-SI"/>
        </w:rPr>
        <w:t>upravljanja, nadzora ali zastopanja </w:t>
      </w:r>
      <w:r w:rsidRPr="00BD46CA">
        <w:rPr>
          <w:rFonts w:eastAsia="Times New Roman" w:cs="Arial"/>
          <w:sz w:val="20"/>
          <w:szCs w:val="20"/>
          <w:lang w:eastAsia="sl-SI"/>
        </w:rPr>
        <w:t>v gospodarskih družbah, gospodarskih interesnih združenjih, zadrugah, javnih zavodih, skladih, agencijah in drugih osebah javnega ali zasebnega prava, razen v društvih, ustanovah in političnih strankah.</w:t>
      </w:r>
    </w:p>
    <w:p w:rsidR="00950741" w:rsidRPr="00BD46CA" w:rsidRDefault="00950741" w:rsidP="00950741">
      <w:pPr>
        <w:pStyle w:val="PojasniloBodyText"/>
        <w:rPr>
          <w:sz w:val="20"/>
          <w:szCs w:val="20"/>
        </w:rPr>
      </w:pPr>
    </w:p>
    <w:p w:rsidR="00950741" w:rsidRPr="00BD46CA" w:rsidRDefault="00950741" w:rsidP="00950741">
      <w:pPr>
        <w:pStyle w:val="PojasniloList"/>
        <w:numPr>
          <w:ilvl w:val="0"/>
          <w:numId w:val="0"/>
        </w:numPr>
        <w:spacing w:after="0" w:line="276" w:lineRule="auto"/>
        <w:rPr>
          <w:rFonts w:ascii="Arial Narrow" w:hAnsi="Arial Narrow"/>
          <w:sz w:val="20"/>
          <w:szCs w:val="20"/>
          <w:lang w:val="sl-SI"/>
        </w:rPr>
      </w:pPr>
      <w:r w:rsidRPr="00BD46CA">
        <w:rPr>
          <w:rFonts w:ascii="Arial Narrow" w:hAnsi="Arial Narrow"/>
          <w:sz w:val="20"/>
          <w:szCs w:val="20"/>
          <w:lang w:val="sl-SI"/>
        </w:rPr>
        <w:lastRenderedPageBreak/>
        <w:t xml:space="preserve">Komisija je na področju izvajanja nadzora nad upoštevanjem določb 27. člena ZIntPK Občino Ribnica v primeru dveh subjektov, in sicer IP Ribnica d.o.o. ter </w:t>
      </w:r>
      <w:proofErr w:type="spellStart"/>
      <w:r w:rsidRPr="00BD46CA">
        <w:rPr>
          <w:rFonts w:ascii="Arial Narrow" w:hAnsi="Arial Narrow"/>
          <w:sz w:val="20"/>
          <w:szCs w:val="20"/>
          <w:lang w:val="sl-SI"/>
        </w:rPr>
        <w:t>Hydrovod</w:t>
      </w:r>
      <w:proofErr w:type="spellEnd"/>
      <w:r w:rsidRPr="00BD46CA">
        <w:rPr>
          <w:rFonts w:ascii="Arial Narrow" w:hAnsi="Arial Narrow"/>
          <w:sz w:val="20"/>
          <w:szCs w:val="20"/>
          <w:lang w:val="sl-SI"/>
        </w:rPr>
        <w:t xml:space="preserve"> d.o.o., v katerih je župan po aktu o ustanovitvi predstavnik skupščine</w:t>
      </w:r>
      <w:r w:rsidR="00A4543E">
        <w:rPr>
          <w:rFonts w:ascii="Arial Narrow" w:hAnsi="Arial Narrow"/>
          <w:sz w:val="20"/>
          <w:szCs w:val="20"/>
          <w:lang w:val="sl-SI"/>
        </w:rPr>
        <w:t>,</w:t>
      </w:r>
      <w:r w:rsidRPr="00BD46CA">
        <w:rPr>
          <w:rFonts w:ascii="Arial Narrow" w:hAnsi="Arial Narrow"/>
          <w:sz w:val="20"/>
          <w:szCs w:val="20"/>
          <w:lang w:val="sl-SI"/>
        </w:rPr>
        <w:t xml:space="preserve"> zaprosila za dodatna pojasnila in ugotovila, da posebni akt, s katerim bi bil župan imenovan za predstavnika skupščine v obeh zgoraj </w:t>
      </w:r>
      <w:r>
        <w:rPr>
          <w:rFonts w:ascii="Arial Narrow" w:hAnsi="Arial Narrow"/>
          <w:sz w:val="20"/>
          <w:szCs w:val="20"/>
          <w:lang w:val="sl-SI"/>
        </w:rPr>
        <w:t>navedenih subjektih</w:t>
      </w:r>
      <w:r w:rsidR="00A4543E">
        <w:rPr>
          <w:rFonts w:ascii="Arial Narrow" w:hAnsi="Arial Narrow"/>
          <w:sz w:val="20"/>
          <w:szCs w:val="20"/>
          <w:lang w:val="sl-SI"/>
        </w:rPr>
        <w:t>,</w:t>
      </w:r>
      <w:r>
        <w:rPr>
          <w:rFonts w:ascii="Arial Narrow" w:hAnsi="Arial Narrow"/>
          <w:sz w:val="20"/>
          <w:szCs w:val="20"/>
          <w:lang w:val="sl-SI"/>
        </w:rPr>
        <w:t xml:space="preserve"> ne obstaja. Župan je lahko član skupščine edino v primerih, ko slednja izvaja zgolj ustanoviteljske pravice. Nadzorna skupina je ugotovila, da akt, s katerim bi bil župan imenovan v skupščino navedenih pravnih oseb</w:t>
      </w:r>
      <w:r w:rsidR="00A4543E">
        <w:rPr>
          <w:rFonts w:ascii="Arial Narrow" w:hAnsi="Arial Narrow"/>
          <w:sz w:val="20"/>
          <w:szCs w:val="20"/>
          <w:lang w:val="sl-SI"/>
        </w:rPr>
        <w:t>,</w:t>
      </w:r>
      <w:r w:rsidR="00A4543E" w:rsidRPr="00A4543E">
        <w:rPr>
          <w:rFonts w:ascii="Arial Narrow" w:hAnsi="Arial Narrow"/>
          <w:sz w:val="20"/>
          <w:szCs w:val="20"/>
          <w:lang w:val="sl-SI"/>
        </w:rPr>
        <w:t xml:space="preserve"> </w:t>
      </w:r>
      <w:r w:rsidR="00A4543E">
        <w:rPr>
          <w:rFonts w:ascii="Arial Narrow" w:hAnsi="Arial Narrow"/>
          <w:sz w:val="20"/>
          <w:szCs w:val="20"/>
          <w:lang w:val="sl-SI"/>
        </w:rPr>
        <w:t>ne obstaja</w:t>
      </w:r>
      <w:r>
        <w:rPr>
          <w:rFonts w:ascii="Arial Narrow" w:hAnsi="Arial Narrow"/>
          <w:sz w:val="20"/>
          <w:szCs w:val="20"/>
          <w:lang w:val="sl-SI"/>
        </w:rPr>
        <w:t xml:space="preserve">. Komisija je v svoji </w:t>
      </w:r>
      <w:proofErr w:type="spellStart"/>
      <w:r>
        <w:rPr>
          <w:rFonts w:ascii="Arial Narrow" w:hAnsi="Arial Narrow"/>
          <w:sz w:val="20"/>
          <w:szCs w:val="20"/>
          <w:lang w:val="sl-SI"/>
        </w:rPr>
        <w:t>nezavezujoči</w:t>
      </w:r>
      <w:proofErr w:type="spellEnd"/>
      <w:r>
        <w:rPr>
          <w:rFonts w:ascii="Arial Narrow" w:hAnsi="Arial Narrow"/>
          <w:sz w:val="20"/>
          <w:szCs w:val="20"/>
          <w:lang w:val="sl-SI"/>
        </w:rPr>
        <w:t xml:space="preserve"> razlagi določb ZIntPK zapisala, da tega, kdo imenuje predstavnika ustanovitelja v skupščino družbe</w:t>
      </w:r>
      <w:r w:rsidR="00A4543E">
        <w:rPr>
          <w:rFonts w:ascii="Arial Narrow" w:hAnsi="Arial Narrow"/>
          <w:sz w:val="20"/>
          <w:szCs w:val="20"/>
          <w:lang w:val="sl-SI"/>
        </w:rPr>
        <w:t>,</w:t>
      </w:r>
      <w:r>
        <w:rPr>
          <w:rFonts w:ascii="Arial Narrow" w:hAnsi="Arial Narrow"/>
          <w:sz w:val="20"/>
          <w:szCs w:val="20"/>
          <w:lang w:val="sl-SI"/>
        </w:rPr>
        <w:t xml:space="preserve"> ZIntPK ne ureja. Prvi odstavek 73. člena Zakona o javnih financah (Uradni list RS, št. 11/2011</w:t>
      </w:r>
      <w:r w:rsidR="00A4543E">
        <w:rPr>
          <w:rFonts w:ascii="Arial Narrow" w:hAnsi="Arial Narrow"/>
          <w:sz w:val="20"/>
          <w:szCs w:val="20"/>
          <w:lang w:val="sl-SI"/>
        </w:rPr>
        <w:t xml:space="preserve"> </w:t>
      </w:r>
      <w:r>
        <w:rPr>
          <w:rFonts w:ascii="Arial Narrow" w:hAnsi="Arial Narrow"/>
          <w:sz w:val="20"/>
          <w:szCs w:val="20"/>
          <w:lang w:val="sl-SI"/>
        </w:rPr>
        <w:t xml:space="preserve">- UPB s spremembami, dalje ZJF) določa, da o ustanavljanju in ukinjanju pravnih oseb, katerih ustanovitelj ali soustanovitelj je občina, odloča občinski svet, če ni s področnim zakonom ali zakonom o lokalni samoupravi določeno drugače. </w:t>
      </w:r>
      <w:r w:rsidRPr="00BD46CA">
        <w:rPr>
          <w:rFonts w:ascii="Arial Narrow" w:hAnsi="Arial Narrow"/>
          <w:sz w:val="20"/>
          <w:szCs w:val="20"/>
          <w:lang w:val="sl-SI"/>
        </w:rPr>
        <w:t xml:space="preserve">Glede na določbe </w:t>
      </w:r>
      <w:r w:rsidR="00A4543E">
        <w:rPr>
          <w:rFonts w:ascii="Arial Narrow" w:hAnsi="Arial Narrow"/>
          <w:sz w:val="20"/>
          <w:szCs w:val="20"/>
          <w:lang w:val="sl-SI"/>
        </w:rPr>
        <w:t>prvega</w:t>
      </w:r>
      <w:r w:rsidRPr="00BD46CA">
        <w:rPr>
          <w:rFonts w:ascii="Arial Narrow" w:hAnsi="Arial Narrow"/>
          <w:sz w:val="20"/>
          <w:szCs w:val="20"/>
          <w:lang w:val="sl-SI"/>
        </w:rPr>
        <w:t xml:space="preserve"> odstavka 27. člena ZIntPK, da poklicni župan ne sme zastopati gospodarske družbe oziroma biti član organa upravljanja ali nadzora v gospodarski družbi, bo župan Občine Ribnica moral navedeno nepravilnost odpraviti. Določbe ZIntPK za navedeno kršitev ne predvidevajo prekrškovnih sankcij, zato bo župan pozvan k odpravi navedene nepravilnosti v povezavi s svojim predstavništvom v skupščini dveh subjektov,  IP Ribnica d.o.o. ter </w:t>
      </w:r>
      <w:proofErr w:type="spellStart"/>
      <w:r w:rsidRPr="00BD46CA">
        <w:rPr>
          <w:rFonts w:ascii="Arial Narrow" w:hAnsi="Arial Narrow"/>
          <w:sz w:val="20"/>
          <w:szCs w:val="20"/>
          <w:lang w:val="sl-SI"/>
        </w:rPr>
        <w:t>Hydrovod</w:t>
      </w:r>
      <w:proofErr w:type="spellEnd"/>
      <w:r w:rsidRPr="00BD46CA">
        <w:rPr>
          <w:rFonts w:ascii="Arial Narrow" w:hAnsi="Arial Narrow"/>
          <w:sz w:val="20"/>
          <w:szCs w:val="20"/>
          <w:lang w:val="sl-SI"/>
        </w:rPr>
        <w:t xml:space="preserve"> d.o.o.</w:t>
      </w:r>
    </w:p>
    <w:p w:rsidR="00950741" w:rsidRPr="00BD46CA" w:rsidRDefault="00950741" w:rsidP="00950741">
      <w:pPr>
        <w:shd w:val="clear" w:color="auto" w:fill="FFFFFF"/>
        <w:spacing w:line="276" w:lineRule="auto"/>
        <w:jc w:val="both"/>
        <w:textAlignment w:val="baseline"/>
        <w:rPr>
          <w:rFonts w:ascii="Arial Narrow" w:eastAsia="Times New Roman" w:hAnsi="Arial Narrow" w:cs="Arial"/>
          <w:sz w:val="20"/>
          <w:szCs w:val="20"/>
          <w:lang w:eastAsia="sl-SI"/>
        </w:rPr>
      </w:pPr>
    </w:p>
    <w:p w:rsidR="00950741" w:rsidRPr="00BD46CA" w:rsidRDefault="00950741" w:rsidP="00950741">
      <w:pPr>
        <w:shd w:val="clear" w:color="auto" w:fill="FFFFFF"/>
        <w:spacing w:line="276" w:lineRule="auto"/>
        <w:jc w:val="both"/>
        <w:textAlignment w:val="baseline"/>
        <w:rPr>
          <w:rFonts w:ascii="Arial Narrow" w:hAnsi="Arial Narrow" w:cs="Arial"/>
          <w:sz w:val="20"/>
          <w:szCs w:val="20"/>
          <w:shd w:val="clear" w:color="auto" w:fill="FFFFFF"/>
        </w:rPr>
      </w:pPr>
      <w:r w:rsidRPr="00BD46CA">
        <w:rPr>
          <w:rFonts w:ascii="Arial Narrow" w:hAnsi="Arial Narrow" w:cs="Arial"/>
          <w:sz w:val="20"/>
          <w:szCs w:val="20"/>
          <w:shd w:val="clear" w:color="auto" w:fill="FFFFFF"/>
        </w:rPr>
        <w:t>Medtem ko za </w:t>
      </w:r>
      <w:r w:rsidRPr="00BD46CA">
        <w:rPr>
          <w:rStyle w:val="Krepko"/>
          <w:rFonts w:ascii="Arial Narrow" w:hAnsi="Arial Narrow" w:cs="Arial"/>
          <w:b w:val="0"/>
          <w:sz w:val="20"/>
          <w:szCs w:val="20"/>
          <w:bdr w:val="none" w:sz="0" w:space="0" w:color="auto" w:frame="1"/>
          <w:shd w:val="clear" w:color="auto" w:fill="FFFFFF"/>
        </w:rPr>
        <w:t>poklicne funkcionarje</w:t>
      </w:r>
      <w:r w:rsidRPr="00BD46CA">
        <w:rPr>
          <w:rFonts w:ascii="Arial Narrow" w:hAnsi="Arial Narrow" w:cs="Arial"/>
          <w:sz w:val="20"/>
          <w:szCs w:val="20"/>
          <w:shd w:val="clear" w:color="auto" w:fill="FFFFFF"/>
        </w:rPr>
        <w:t> v zgoraj opisanem primeru velja absolutna prepoved članstva in dejavnosti, velja ta prepoved v primeru </w:t>
      </w:r>
      <w:r w:rsidRPr="00BD46CA">
        <w:rPr>
          <w:rStyle w:val="Krepko"/>
          <w:rFonts w:ascii="Arial Narrow" w:hAnsi="Arial Narrow" w:cs="Arial"/>
          <w:b w:val="0"/>
          <w:sz w:val="20"/>
          <w:szCs w:val="20"/>
          <w:bdr w:val="none" w:sz="0" w:space="0" w:color="auto" w:frame="1"/>
          <w:shd w:val="clear" w:color="auto" w:fill="FFFFFF"/>
        </w:rPr>
        <w:t>nepoklicnih funkcionarjev</w:t>
      </w:r>
      <w:r w:rsidRPr="00BD46CA">
        <w:rPr>
          <w:rFonts w:ascii="Arial Narrow" w:hAnsi="Arial Narrow" w:cs="Arial"/>
          <w:sz w:val="20"/>
          <w:szCs w:val="20"/>
          <w:shd w:val="clear" w:color="auto" w:fill="FFFFFF"/>
        </w:rPr>
        <w:t xml:space="preserve"> samo za tiste subjekte (gospodarske družbe, zavode, zadruge ...), nad </w:t>
      </w:r>
      <w:r w:rsidR="00A4543E">
        <w:rPr>
          <w:rFonts w:ascii="Arial Narrow" w:hAnsi="Arial Narrow" w:cs="Arial"/>
          <w:sz w:val="20"/>
          <w:szCs w:val="20"/>
          <w:shd w:val="clear" w:color="auto" w:fill="FFFFFF"/>
        </w:rPr>
        <w:t xml:space="preserve">delom katerih </w:t>
      </w:r>
      <w:r w:rsidRPr="00BD46CA">
        <w:rPr>
          <w:rFonts w:ascii="Arial Narrow" w:hAnsi="Arial Narrow" w:cs="Arial"/>
          <w:sz w:val="20"/>
          <w:szCs w:val="20"/>
          <w:shd w:val="clear" w:color="auto" w:fill="FFFFFF"/>
        </w:rPr>
        <w:t xml:space="preserve">nepoklicni funkcionar v okviru svoje funkcije izvaja neposredni nadzor. ZIntPK vsebuje posebno določbo glede (ne)združljivosti funkcij nepoklicnih županov in podžupanov, ki sicer sodijo med nepoklicne funkcionarje. Za nepoklicne župane in podžupane v osnovi velja enaka prepoved kot za poklicne funkcionarje, in sicer nepoklicni župan ali podžupan ne sme biti član oziroma opravljati dejavnosti upravljanja, nadzora ali zastopanja v javnih zavodih, skladih, agencijah in drugih osebah javnega ali zasebnega prava, če je oseba zasebnega prava nosilec javnega pooblastila ali izvajalec javne službe. Ta omejitev oziroma prepoved velja le v primerih, ko nepoklicni župan ali podžupan opravlja funkcijo v občini, ki je s katerim od navedenih subjektov ustanoviteljsko, lastniško, nadzorstveno ali finančno povezana. Na navedenem področju v Občini Ribnica na podlagi posredovane dokumentacije in pojasnil ni bilo zaznanih nepravilnosti. </w:t>
      </w:r>
    </w:p>
    <w:p w:rsidR="00950741" w:rsidRPr="00BD46CA" w:rsidRDefault="00950741" w:rsidP="00950741">
      <w:pPr>
        <w:spacing w:line="276" w:lineRule="auto"/>
        <w:jc w:val="both"/>
        <w:rPr>
          <w:rFonts w:ascii="Arial Narrow" w:hAnsi="Arial Narrow"/>
          <w:color w:val="FF0000"/>
          <w:sz w:val="20"/>
          <w:szCs w:val="20"/>
        </w:rPr>
      </w:pPr>
    </w:p>
    <w:p w:rsidR="00950741" w:rsidRPr="00BD46CA" w:rsidRDefault="00950741" w:rsidP="00950741">
      <w:pPr>
        <w:pStyle w:val="BodyKPK"/>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after="0" w:line="276" w:lineRule="auto"/>
        <w:jc w:val="both"/>
        <w:rPr>
          <w:rFonts w:ascii="Arial Narrow" w:hAnsi="Arial Narrow"/>
          <w:i/>
          <w:sz w:val="20"/>
          <w:lang w:val="sl-SI"/>
        </w:rPr>
      </w:pPr>
      <w:r w:rsidRPr="00BD46CA">
        <w:rPr>
          <w:rFonts w:ascii="Arial Narrow" w:eastAsia="Calibri" w:hAnsi="Arial Narrow"/>
          <w:color w:val="auto"/>
          <w:sz w:val="20"/>
          <w:lang w:val="sl-SI" w:eastAsia="zh-CN"/>
        </w:rPr>
        <w:t xml:space="preserve">Nadzor nad sprejemanjem daril je ukrep, ki je po ZIntPK namenjen preprečevanju korupcije (torej primerov, ko posameznik darilo sprejme, privoli, da ga sprejme ali zahteva v zameno za neko storitev ali opustitev dolžnega ravnanja, kot podkupnino ali kako drugače nedovoljeno darilo) in preprečevanju nasprotja interesov (torej primerov, ko bi zasebni interes, ki sovpada s prejemom darila, vplival na posameznikovo odločanje oziroma opravljanje javnih nalog). Metoda, ki jo je zakonodajalec predvidel za odpravljanje tveganj pri obeh kategorijah, je omejitev vrst in vrednosti dovoljenih daril ter vzpostavitev transparentnega, preglednega sistema sprejemanja </w:t>
      </w:r>
      <w:r w:rsidR="008E342A">
        <w:rPr>
          <w:rFonts w:ascii="Arial Narrow" w:eastAsia="Calibri" w:hAnsi="Arial Narrow"/>
          <w:color w:val="auto"/>
          <w:sz w:val="20"/>
          <w:lang w:val="sl-SI" w:eastAsia="zh-CN"/>
        </w:rPr>
        <w:t xml:space="preserve">daril </w:t>
      </w:r>
      <w:r w:rsidRPr="00BD46CA">
        <w:rPr>
          <w:rFonts w:ascii="Arial Narrow" w:eastAsia="Calibri" w:hAnsi="Arial Narrow"/>
          <w:color w:val="auto"/>
          <w:sz w:val="20"/>
          <w:lang w:val="sl-SI" w:eastAsia="zh-CN"/>
        </w:rPr>
        <w:t xml:space="preserve">in ravnanja z </w:t>
      </w:r>
      <w:r w:rsidR="008E342A">
        <w:rPr>
          <w:rFonts w:ascii="Arial Narrow" w:eastAsia="Calibri" w:hAnsi="Arial Narrow"/>
          <w:color w:val="auto"/>
          <w:sz w:val="20"/>
          <w:lang w:val="sl-SI" w:eastAsia="zh-CN"/>
        </w:rPr>
        <w:t>njimi</w:t>
      </w:r>
      <w:r w:rsidRPr="00BD46CA">
        <w:rPr>
          <w:rFonts w:ascii="Arial Narrow" w:eastAsia="Calibri" w:hAnsi="Arial Narrow"/>
          <w:color w:val="auto"/>
          <w:sz w:val="20"/>
          <w:lang w:val="sl-SI" w:eastAsia="zh-CN"/>
        </w:rPr>
        <w:t xml:space="preserve">. ZIntPK ureja prepovedi in omejitve sprejemanja daril, povezanih z opravljanjem funkcije posameznega funkcionarja. </w:t>
      </w:r>
      <w:r w:rsidRPr="00BD46CA">
        <w:rPr>
          <w:rFonts w:ascii="Arial Narrow" w:hAnsi="Arial Narrow"/>
          <w:sz w:val="20"/>
          <w:lang w:val="sl-SI"/>
        </w:rPr>
        <w:t xml:space="preserve">Na podlagi prvega odstavka 31. člena ZIntPK mora tako organ ali organizacija, v kateri funkcionar, ki je sprejel darilo, opravlja funkcijo, sprejeta darila in njihovo vrednost vpisati v seznam daril. Pravna podlaga za posredovanje seznama daril je vsebovana v 32. členu ZIntPK, ki pravi: </w:t>
      </w:r>
      <w:r w:rsidRPr="00BD46CA">
        <w:rPr>
          <w:rFonts w:ascii="Arial Narrow" w:hAnsi="Arial Narrow"/>
          <w:i/>
          <w:sz w:val="20"/>
          <w:lang w:val="sl-SI"/>
        </w:rPr>
        <w:t>»Državni in drugi organi ter organizacije, ki so dolžne voditi sezname daril, kopije teh seznamov za preteklo leto posredujejo komisiji do 31. marca tekočega leta.«</w:t>
      </w:r>
    </w:p>
    <w:p w:rsidR="00950741" w:rsidRPr="00BD46CA" w:rsidRDefault="00950741" w:rsidP="00950741">
      <w:pPr>
        <w:pStyle w:val="BodyKPK"/>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after="0" w:line="276" w:lineRule="auto"/>
        <w:jc w:val="both"/>
        <w:rPr>
          <w:rFonts w:ascii="Arial Narrow" w:hAnsi="Arial Narrow"/>
          <w:i/>
          <w:sz w:val="20"/>
          <w:lang w:val="sl-SI"/>
        </w:rPr>
      </w:pPr>
    </w:p>
    <w:p w:rsidR="00950741" w:rsidRPr="00BD46CA" w:rsidRDefault="00950741" w:rsidP="00950741">
      <w:pPr>
        <w:pStyle w:val="BodyKPK"/>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after="0" w:line="276" w:lineRule="auto"/>
        <w:jc w:val="both"/>
        <w:rPr>
          <w:rFonts w:ascii="Arial Narrow" w:hAnsi="Arial Narrow"/>
          <w:sz w:val="20"/>
          <w:lang w:val="sl-SI"/>
        </w:rPr>
      </w:pPr>
      <w:r w:rsidRPr="00BD46CA">
        <w:rPr>
          <w:rFonts w:ascii="Arial Narrow" w:hAnsi="Arial Narrow"/>
          <w:sz w:val="20"/>
          <w:lang w:val="sl-SI"/>
        </w:rPr>
        <w:t>Občina Ribnica je v zakonskem roku komisiji posredovala poročilo glede prejetih daril njenih funkcionarjev za leti 2014 ter 2016, iz katerih izhaja, da tako v letu 2014 kot 2016 niso evidentirali oz</w:t>
      </w:r>
      <w:r w:rsidR="00E26043">
        <w:rPr>
          <w:rFonts w:ascii="Arial Narrow" w:hAnsi="Arial Narrow"/>
          <w:sz w:val="20"/>
          <w:lang w:val="sl-SI"/>
        </w:rPr>
        <w:t>iroma</w:t>
      </w:r>
      <w:r w:rsidRPr="00BD46CA">
        <w:rPr>
          <w:rFonts w:ascii="Arial Narrow" w:hAnsi="Arial Narrow"/>
          <w:sz w:val="20"/>
          <w:lang w:val="sl-SI"/>
        </w:rPr>
        <w:t xml:space="preserve"> niso prejeli nobenih daril. Občina Ribnica je v času opravljanja tematskega nadzora komisiji (ker jih prvotno ni posredovala) posredovala poročila glede prejetih daril njenih funkcionarjev za leti 2015 in 2017, iz vsebine katerih izhaja, da tudi v letih 2015 in 2017 niso evidentirali oz</w:t>
      </w:r>
      <w:r w:rsidR="00E26043">
        <w:rPr>
          <w:rFonts w:ascii="Arial Narrow" w:hAnsi="Arial Narrow"/>
          <w:sz w:val="20"/>
          <w:lang w:val="sl-SI"/>
        </w:rPr>
        <w:t>iroma</w:t>
      </w:r>
      <w:r w:rsidRPr="00BD46CA">
        <w:rPr>
          <w:rFonts w:ascii="Arial Narrow" w:hAnsi="Arial Narrow"/>
          <w:sz w:val="20"/>
          <w:lang w:val="sl-SI"/>
        </w:rPr>
        <w:t xml:space="preserve"> niso prejeli nobenih daril. Komisija je na področju poročanja o sprejemanju daril s strani funkcionarjev Občine Ribnica ugotovila, da župan Občine Ribnica ni izdal posebnega sklepa, je pa določil osebo, odgovorno za vodenje evidence prejetih daril funkcionarjev ter osebo, ki je odgovorna tudi za posredovanje seznama prejetih daril komisiji. Oseb</w:t>
      </w:r>
      <w:r w:rsidR="008E342A">
        <w:rPr>
          <w:rFonts w:ascii="Arial Narrow" w:hAnsi="Arial Narrow"/>
          <w:sz w:val="20"/>
          <w:lang w:val="sl-SI"/>
        </w:rPr>
        <w:t>i</w:t>
      </w:r>
      <w:r w:rsidRPr="00BD46CA">
        <w:rPr>
          <w:rFonts w:ascii="Arial Narrow" w:hAnsi="Arial Narrow"/>
          <w:sz w:val="20"/>
          <w:lang w:val="sl-SI"/>
        </w:rPr>
        <w:t xml:space="preserve">, ki bi v primerih odsotnosti navedenih oseb le-ti nadomeščali, nista določeni. Pri tem je komisija tudi ugotovila, da je Občina Ribnica svoje funkcionarje </w:t>
      </w:r>
      <w:r w:rsidR="008E342A" w:rsidRPr="00BD46CA">
        <w:rPr>
          <w:rFonts w:ascii="Arial Narrow" w:hAnsi="Arial Narrow"/>
          <w:sz w:val="20"/>
          <w:lang w:val="sl-SI"/>
        </w:rPr>
        <w:t xml:space="preserve">vsako leto </w:t>
      </w:r>
      <w:r w:rsidRPr="00BD46CA">
        <w:rPr>
          <w:rFonts w:ascii="Arial Narrow" w:hAnsi="Arial Narrow"/>
          <w:sz w:val="20"/>
          <w:lang w:val="sl-SI"/>
        </w:rPr>
        <w:t xml:space="preserve">pozivala k poročanju o prejetih darilih. </w:t>
      </w:r>
    </w:p>
    <w:p w:rsidR="00950741" w:rsidRPr="00BD46CA" w:rsidRDefault="00950741" w:rsidP="00950741">
      <w:pPr>
        <w:pStyle w:val="BodyKPK"/>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after="0" w:line="276" w:lineRule="auto"/>
        <w:jc w:val="both"/>
        <w:rPr>
          <w:rFonts w:ascii="Arial Narrow" w:hAnsi="Arial Narrow"/>
          <w:color w:val="FF0000"/>
          <w:sz w:val="20"/>
          <w:lang w:val="sl-SI"/>
        </w:rPr>
      </w:pPr>
    </w:p>
    <w:p w:rsidR="00950741" w:rsidRPr="00BD46CA" w:rsidRDefault="00950741" w:rsidP="00950741">
      <w:pPr>
        <w:pStyle w:val="PojasniloList"/>
        <w:numPr>
          <w:ilvl w:val="0"/>
          <w:numId w:val="0"/>
        </w:numPr>
        <w:spacing w:after="0" w:line="276" w:lineRule="auto"/>
        <w:rPr>
          <w:rFonts w:ascii="Arial Narrow" w:eastAsia="Calibri" w:hAnsi="Arial Narrow" w:cs="Times New Roman"/>
          <w:sz w:val="20"/>
          <w:szCs w:val="20"/>
          <w:lang w:val="sl-SI" w:eastAsia="zh-CN"/>
        </w:rPr>
      </w:pPr>
      <w:r w:rsidRPr="00BD46CA">
        <w:rPr>
          <w:rFonts w:ascii="Arial Narrow" w:eastAsia="Calibri" w:hAnsi="Arial Narrow" w:cs="Times New Roman"/>
          <w:sz w:val="20"/>
          <w:szCs w:val="20"/>
          <w:lang w:val="sl-SI" w:eastAsia="zh-CN"/>
        </w:rPr>
        <w:t>Institut omejitve poslovanja je po ZIntPK primarno namenjen preprečevanju korupcije in preprečevanju oz. dolžnem</w:t>
      </w:r>
      <w:r w:rsidR="008E342A">
        <w:rPr>
          <w:rFonts w:ascii="Arial Narrow" w:eastAsia="Calibri" w:hAnsi="Arial Narrow" w:cs="Times New Roman"/>
          <w:sz w:val="20"/>
          <w:szCs w:val="20"/>
          <w:lang w:val="sl-SI" w:eastAsia="zh-CN"/>
        </w:rPr>
        <w:t>u</w:t>
      </w:r>
      <w:r w:rsidRPr="00BD46CA">
        <w:rPr>
          <w:rFonts w:ascii="Arial Narrow" w:eastAsia="Calibri" w:hAnsi="Arial Narrow" w:cs="Times New Roman"/>
          <w:sz w:val="20"/>
          <w:szCs w:val="20"/>
          <w:lang w:val="sl-SI" w:eastAsia="zh-CN"/>
        </w:rPr>
        <w:t xml:space="preserve"> izogibanju nasprotju interesov. Na ta način ZIntPK varuje tudi domača in evropska javna sredstva pred nedovoljeno uporabo v zasebne namene (35. in 36. člen ZIntPK). Tako morajo funkcionarji organom, v katerih opravljajo funkcijo</w:t>
      </w:r>
      <w:r w:rsidR="008E342A">
        <w:rPr>
          <w:rFonts w:ascii="Arial Narrow" w:eastAsia="Calibri" w:hAnsi="Arial Narrow" w:cs="Times New Roman"/>
          <w:sz w:val="20"/>
          <w:szCs w:val="20"/>
          <w:lang w:val="sl-SI" w:eastAsia="zh-CN"/>
        </w:rPr>
        <w:t>,</w:t>
      </w:r>
      <w:r w:rsidRPr="00BD46CA">
        <w:rPr>
          <w:rFonts w:ascii="Arial Narrow" w:eastAsia="Calibri" w:hAnsi="Arial Narrow" w:cs="Times New Roman"/>
          <w:sz w:val="20"/>
          <w:szCs w:val="20"/>
          <w:lang w:val="sl-SI" w:eastAsia="zh-CN"/>
        </w:rPr>
        <w:t xml:space="preserve"> v enem mesecu po nastopu funkcije, nato pa najkasneje v os</w:t>
      </w:r>
      <w:r w:rsidR="008E342A">
        <w:rPr>
          <w:rFonts w:ascii="Arial Narrow" w:eastAsia="Calibri" w:hAnsi="Arial Narrow" w:cs="Times New Roman"/>
          <w:sz w:val="20"/>
          <w:szCs w:val="20"/>
          <w:lang w:val="sl-SI" w:eastAsia="zh-CN"/>
        </w:rPr>
        <w:t>mih</w:t>
      </w:r>
      <w:r w:rsidRPr="00BD46CA">
        <w:rPr>
          <w:rFonts w:ascii="Arial Narrow" w:eastAsia="Calibri" w:hAnsi="Arial Narrow" w:cs="Times New Roman"/>
          <w:sz w:val="20"/>
          <w:szCs w:val="20"/>
          <w:lang w:val="sl-SI" w:eastAsia="zh-CN"/>
        </w:rPr>
        <w:t xml:space="preserve"> dneh od nastanka spremembe posredovati podatke o subjektih, s katerimi </w:t>
      </w:r>
      <w:r w:rsidRPr="00BD46CA">
        <w:rPr>
          <w:rFonts w:ascii="Arial Narrow" w:eastAsia="Calibri" w:hAnsi="Arial Narrow" w:cs="Times New Roman"/>
          <w:sz w:val="20"/>
          <w:szCs w:val="20"/>
          <w:lang w:val="sl-SI" w:eastAsia="zh-CN"/>
        </w:rPr>
        <w:lastRenderedPageBreak/>
        <w:t xml:space="preserve">so sami ali njihovi družinski člani v razmerju iz </w:t>
      </w:r>
      <w:r w:rsidR="008E342A">
        <w:rPr>
          <w:rFonts w:ascii="Arial Narrow" w:eastAsia="Calibri" w:hAnsi="Arial Narrow" w:cs="Times New Roman"/>
          <w:sz w:val="20"/>
          <w:szCs w:val="20"/>
          <w:lang w:val="sl-SI" w:eastAsia="zh-CN"/>
        </w:rPr>
        <w:t>prvega</w:t>
      </w:r>
      <w:r w:rsidRPr="00BD46CA">
        <w:rPr>
          <w:rFonts w:ascii="Arial Narrow" w:eastAsia="Calibri" w:hAnsi="Arial Narrow" w:cs="Times New Roman"/>
          <w:sz w:val="20"/>
          <w:szCs w:val="20"/>
          <w:lang w:val="sl-SI" w:eastAsia="zh-CN"/>
        </w:rPr>
        <w:t xml:space="preserve"> odstavka 35. člena ZIntPK, medtem ko mora organ sezname posredovati komisiji v 15 dneh od prejema teh podatkov. Omejitve poslovanja po ZIntPK veljajo od trenutka, ko nastanejo (torej z dnem nastopa funkcije funkcionarja)</w:t>
      </w:r>
      <w:r w:rsidR="00E26043">
        <w:rPr>
          <w:rFonts w:ascii="Arial Narrow" w:eastAsia="Calibri" w:hAnsi="Arial Narrow" w:cs="Times New Roman"/>
          <w:sz w:val="20"/>
          <w:szCs w:val="20"/>
          <w:lang w:val="sl-SI" w:eastAsia="zh-CN"/>
        </w:rPr>
        <w:t>,</w:t>
      </w:r>
      <w:r w:rsidRPr="00BD46CA">
        <w:rPr>
          <w:rFonts w:ascii="Arial Narrow" w:eastAsia="Calibri" w:hAnsi="Arial Narrow" w:cs="Times New Roman"/>
          <w:sz w:val="20"/>
          <w:szCs w:val="20"/>
          <w:lang w:val="sl-SI" w:eastAsia="zh-CN"/>
        </w:rPr>
        <w:t xml:space="preserve"> in so neodvisne od vpisa na seznam, ki ga vodi komisija in je dostopen na njeni spletni strani - če določenega subjekta ni na seznamu (ker še ni vpisan ali iz drugih razlogov), to ne pomeni, da omejitve poslovanja s tem subjektom ne veljajo. Dolžnost paziti in preverjati morebiten obstoj omejitev poslovanja je torej v prvi vrsti na organu - naročniku, ki mora pri tem primarno izhajati iz lastne evidence oziroma seznama ter upoštevati določbe prvega, drugega in tretjega odstavka </w:t>
      </w:r>
      <w:r w:rsidR="00CE4E1D">
        <w:rPr>
          <w:rFonts w:ascii="Arial Narrow" w:eastAsia="Calibri" w:hAnsi="Arial Narrow" w:cs="Times New Roman"/>
          <w:sz w:val="20"/>
          <w:szCs w:val="20"/>
          <w:lang w:val="sl-SI" w:eastAsia="zh-CN"/>
        </w:rPr>
        <w:t xml:space="preserve">35. člena </w:t>
      </w:r>
      <w:r w:rsidRPr="00BD46CA">
        <w:rPr>
          <w:rFonts w:ascii="Arial Narrow" w:eastAsia="Calibri" w:hAnsi="Arial Narrow" w:cs="Times New Roman"/>
          <w:sz w:val="20"/>
          <w:szCs w:val="20"/>
          <w:lang w:val="sl-SI" w:eastAsia="zh-CN"/>
        </w:rPr>
        <w:t>ZIntPK. Omejitve poslovanja pa se raztezajo tudi na čas </w:t>
      </w:r>
      <w:r w:rsidRPr="00BD46CA">
        <w:rPr>
          <w:rFonts w:ascii="Arial Narrow" w:eastAsia="Calibri" w:hAnsi="Arial Narrow" w:cs="Times New Roman"/>
          <w:bCs/>
          <w:sz w:val="20"/>
          <w:szCs w:val="20"/>
          <w:lang w:val="sl-SI" w:eastAsia="zh-CN"/>
        </w:rPr>
        <w:t>po prenehanju funkcije</w:t>
      </w:r>
      <w:r w:rsidRPr="00BD46CA">
        <w:rPr>
          <w:rFonts w:ascii="Arial Narrow" w:eastAsia="Calibri" w:hAnsi="Arial Narrow" w:cs="Times New Roman"/>
          <w:b/>
          <w:bCs/>
          <w:sz w:val="20"/>
          <w:szCs w:val="20"/>
          <w:lang w:val="sl-SI" w:eastAsia="zh-CN"/>
        </w:rPr>
        <w:t> </w:t>
      </w:r>
      <w:r w:rsidRPr="00BD46CA">
        <w:rPr>
          <w:rFonts w:ascii="Arial Narrow" w:eastAsia="Calibri" w:hAnsi="Arial Narrow" w:cs="Times New Roman"/>
          <w:sz w:val="20"/>
          <w:szCs w:val="20"/>
          <w:lang w:val="sl-SI" w:eastAsia="zh-CN"/>
        </w:rPr>
        <w:t xml:space="preserve">funkcionarja, kar natančneje določa 36. člen ZIntPK. </w:t>
      </w:r>
    </w:p>
    <w:p w:rsidR="00950741" w:rsidRPr="00BD46CA" w:rsidRDefault="00950741" w:rsidP="00950741">
      <w:pPr>
        <w:pStyle w:val="PojasniloList"/>
        <w:numPr>
          <w:ilvl w:val="0"/>
          <w:numId w:val="0"/>
        </w:numPr>
        <w:spacing w:after="0" w:line="276" w:lineRule="auto"/>
        <w:rPr>
          <w:rFonts w:ascii="Arial Narrow" w:eastAsia="Calibri" w:hAnsi="Arial Narrow" w:cs="Times New Roman"/>
          <w:sz w:val="20"/>
          <w:szCs w:val="20"/>
          <w:lang w:val="sl-SI" w:eastAsia="zh-CN"/>
        </w:rPr>
      </w:pPr>
    </w:p>
    <w:p w:rsidR="00950741" w:rsidRPr="00BD46CA" w:rsidRDefault="00950741" w:rsidP="00950741">
      <w:pPr>
        <w:pStyle w:val="PojasniloList"/>
        <w:numPr>
          <w:ilvl w:val="0"/>
          <w:numId w:val="0"/>
        </w:numPr>
        <w:spacing w:after="0" w:line="276" w:lineRule="auto"/>
        <w:rPr>
          <w:rFonts w:ascii="Arial Narrow" w:hAnsi="Arial Narrow"/>
          <w:color w:val="FF0000"/>
          <w:sz w:val="20"/>
          <w:szCs w:val="20"/>
          <w:lang w:val="sl-SI"/>
        </w:rPr>
      </w:pPr>
      <w:r w:rsidRPr="00BD46CA">
        <w:rPr>
          <w:rFonts w:ascii="Arial Narrow" w:eastAsia="Calibri" w:hAnsi="Arial Narrow" w:cs="Times New Roman"/>
          <w:sz w:val="20"/>
          <w:szCs w:val="20"/>
          <w:lang w:val="sl-SI" w:eastAsia="zh-CN"/>
        </w:rPr>
        <w:t xml:space="preserve">Komisija je v okviru predmetnega tematskega pregleda opravila tudi poglobljen nadzor nad morebitnimi kršitvami določb ZIntPK o omejitvah poslovanja ter </w:t>
      </w:r>
      <w:proofErr w:type="spellStart"/>
      <w:r w:rsidRPr="00BD46CA">
        <w:rPr>
          <w:rFonts w:ascii="Arial Narrow" w:eastAsia="Calibri" w:hAnsi="Arial Narrow" w:cs="Times New Roman"/>
          <w:sz w:val="20"/>
          <w:szCs w:val="20"/>
          <w:lang w:val="sl-SI" w:eastAsia="zh-CN"/>
        </w:rPr>
        <w:t>neporočanja</w:t>
      </w:r>
      <w:proofErr w:type="spellEnd"/>
      <w:r w:rsidRPr="00BD46CA">
        <w:rPr>
          <w:rFonts w:ascii="Arial Narrow" w:eastAsia="Calibri" w:hAnsi="Arial Narrow" w:cs="Times New Roman"/>
          <w:sz w:val="20"/>
          <w:szCs w:val="20"/>
          <w:lang w:val="sl-SI" w:eastAsia="zh-CN"/>
        </w:rPr>
        <w:t xml:space="preserve"> o subjektih, za katere veljajo omejitve poslovanja</w:t>
      </w:r>
      <w:r w:rsidR="008E342A">
        <w:rPr>
          <w:rFonts w:ascii="Arial Narrow" w:eastAsia="Calibri" w:hAnsi="Arial Narrow" w:cs="Times New Roman"/>
          <w:sz w:val="20"/>
          <w:szCs w:val="20"/>
          <w:lang w:val="sl-SI" w:eastAsia="zh-CN"/>
        </w:rPr>
        <w:t>,</w:t>
      </w:r>
      <w:r w:rsidRPr="00BD46CA">
        <w:rPr>
          <w:rFonts w:ascii="Arial Narrow" w:eastAsia="Calibri" w:hAnsi="Arial Narrow" w:cs="Times New Roman"/>
          <w:sz w:val="20"/>
          <w:szCs w:val="20"/>
          <w:lang w:val="sl-SI" w:eastAsia="zh-CN"/>
        </w:rPr>
        <w:t xml:space="preserve"> ter na podlagi analize pridobljenih podatkov ugotovila, da imajo funkcionarji Občine Ribnica oziroma/ali njihovi družinski člani skupno 30 subjektov, za katere veljajo omejitve poslovanja. Iz pregleda seznama subjektov, za katere veljajo omejitve poslovanja do Občine Ribnica, ki ga je Občina Ribnica posredovala komisiji</w:t>
      </w:r>
      <w:r w:rsidR="008E342A">
        <w:rPr>
          <w:rFonts w:ascii="Arial Narrow" w:eastAsia="Calibri" w:hAnsi="Arial Narrow" w:cs="Times New Roman"/>
          <w:sz w:val="20"/>
          <w:szCs w:val="20"/>
          <w:lang w:val="sl-SI" w:eastAsia="zh-CN"/>
        </w:rPr>
        <w:t>,</w:t>
      </w:r>
      <w:r w:rsidRPr="00BD46CA">
        <w:rPr>
          <w:rFonts w:ascii="Arial Narrow" w:eastAsia="Calibri" w:hAnsi="Arial Narrow" w:cs="Times New Roman"/>
          <w:sz w:val="20"/>
          <w:szCs w:val="20"/>
          <w:lang w:val="sl-SI" w:eastAsia="zh-CN"/>
        </w:rPr>
        <w:t xml:space="preserve"> pa izhaja, da je bilo takšnih subjektov zgolj 14, kar pomeni, da funkcionarji </w:t>
      </w:r>
      <w:r>
        <w:rPr>
          <w:rFonts w:ascii="Arial Narrow" w:eastAsia="Calibri" w:hAnsi="Arial Narrow" w:cs="Times New Roman"/>
          <w:sz w:val="20"/>
          <w:szCs w:val="20"/>
          <w:lang w:val="sl-SI" w:eastAsia="zh-CN"/>
        </w:rPr>
        <w:t xml:space="preserve">organu </w:t>
      </w:r>
      <w:r w:rsidRPr="00BD46CA">
        <w:rPr>
          <w:rFonts w:ascii="Arial Narrow" w:eastAsia="Calibri" w:hAnsi="Arial Narrow" w:cs="Times New Roman"/>
          <w:sz w:val="20"/>
          <w:szCs w:val="20"/>
          <w:lang w:val="sl-SI" w:eastAsia="zh-CN"/>
        </w:rPr>
        <w:t>oziroma organi, kjer funkcionarji opravljajo funkcijo, organu niso prijavili 16 subjektov. Komisija je hkrati preverila</w:t>
      </w:r>
      <w:r w:rsidR="00A7750F">
        <w:rPr>
          <w:rFonts w:ascii="Arial Narrow" w:eastAsia="Calibri" w:hAnsi="Arial Narrow" w:cs="Times New Roman"/>
          <w:sz w:val="20"/>
          <w:szCs w:val="20"/>
          <w:lang w:val="sl-SI" w:eastAsia="zh-CN"/>
        </w:rPr>
        <w:t>,</w:t>
      </w:r>
      <w:r w:rsidRPr="00BD46CA">
        <w:rPr>
          <w:rFonts w:ascii="Arial Narrow" w:eastAsia="Calibri" w:hAnsi="Arial Narrow" w:cs="Times New Roman"/>
          <w:sz w:val="20"/>
          <w:szCs w:val="20"/>
          <w:lang w:val="sl-SI" w:eastAsia="zh-CN"/>
        </w:rPr>
        <w:t xml:space="preserve"> ali je teh 30 poslovnih subjektov v nadzorovanem obdobju poslovalo z Občino Ribnica. Zaznanih je bilo več takšnih transakcij, ki bi lahko kazale na sum kršitev določb ZIntPK o omejitvah poslovanja, zato je komisija z namenom preverjanja identificiranega suma kršitev določb o omejitvah poslovanja (16 neprijavljenih subjektov in poslovanje kljub prepovedi) uvedla postopek</w:t>
      </w:r>
      <w:r w:rsidR="00A7750F" w:rsidRPr="00A7750F">
        <w:rPr>
          <w:rFonts w:ascii="Arial Narrow" w:eastAsia="Calibri" w:hAnsi="Arial Narrow" w:cs="Times New Roman"/>
          <w:sz w:val="20"/>
          <w:szCs w:val="20"/>
          <w:lang w:val="sl-SI" w:eastAsia="zh-CN"/>
        </w:rPr>
        <w:t xml:space="preserve"> </w:t>
      </w:r>
      <w:r w:rsidR="00A7750F" w:rsidRPr="00BD46CA">
        <w:rPr>
          <w:rFonts w:ascii="Arial Narrow" w:eastAsia="Calibri" w:hAnsi="Arial Narrow" w:cs="Times New Roman"/>
          <w:sz w:val="20"/>
          <w:szCs w:val="20"/>
          <w:lang w:val="sl-SI" w:eastAsia="zh-CN"/>
        </w:rPr>
        <w:t>ugotavljanja dejanskih kršitev določb ZIntPK</w:t>
      </w:r>
      <w:r w:rsidR="00A7750F">
        <w:rPr>
          <w:rStyle w:val="Sprotnaopomba-sklic"/>
          <w:rFonts w:ascii="Arial Narrow" w:eastAsia="Calibri" w:hAnsi="Arial Narrow" w:cs="Times New Roman"/>
          <w:sz w:val="20"/>
          <w:szCs w:val="20"/>
          <w:lang w:val="sl-SI" w:eastAsia="zh-CN"/>
        </w:rPr>
        <w:t>.</w:t>
      </w:r>
      <w:r w:rsidRPr="00BD46CA">
        <w:rPr>
          <w:rStyle w:val="Sprotnaopomba-sklic"/>
          <w:rFonts w:ascii="Arial Narrow" w:eastAsia="Calibri" w:hAnsi="Arial Narrow" w:cs="Times New Roman"/>
          <w:sz w:val="20"/>
          <w:szCs w:val="20"/>
          <w:lang w:val="sl-SI" w:eastAsia="zh-CN"/>
        </w:rPr>
        <w:footnoteReference w:id="1"/>
      </w:r>
      <w:r w:rsidRPr="00BD46CA">
        <w:rPr>
          <w:rFonts w:ascii="Arial Narrow" w:eastAsia="Calibri" w:hAnsi="Arial Narrow" w:cs="Times New Roman"/>
          <w:sz w:val="20"/>
          <w:szCs w:val="20"/>
          <w:lang w:val="sl-SI" w:eastAsia="zh-CN"/>
        </w:rPr>
        <w:t xml:space="preserve">   </w:t>
      </w:r>
    </w:p>
    <w:p w:rsidR="00950741" w:rsidRPr="00BD46CA" w:rsidRDefault="00950741" w:rsidP="00950741">
      <w:pPr>
        <w:spacing w:before="100" w:beforeAutospacing="1" w:after="100" w:afterAutospacing="1" w:line="276" w:lineRule="auto"/>
        <w:jc w:val="both"/>
        <w:rPr>
          <w:rFonts w:ascii="Arial Narrow" w:eastAsia="Times New Roman" w:hAnsi="Arial Narrow"/>
          <w:sz w:val="20"/>
          <w:szCs w:val="20"/>
          <w:lang w:eastAsia="sl-SI"/>
        </w:rPr>
      </w:pPr>
      <w:r w:rsidRPr="00BD46CA">
        <w:rPr>
          <w:rFonts w:ascii="Arial Narrow" w:eastAsia="Times New Roman" w:hAnsi="Arial Narrow"/>
          <w:sz w:val="20"/>
          <w:szCs w:val="20"/>
          <w:lang w:eastAsia="sl-SI"/>
        </w:rPr>
        <w:t>Na podlagi pregleda pogodb, ki jih je komisija pridobila v okviru opravljanja nadzora nad določbami o omejitvah poslovanja</w:t>
      </w:r>
      <w:r w:rsidR="008E342A">
        <w:rPr>
          <w:rFonts w:ascii="Arial Narrow" w:eastAsia="Times New Roman" w:hAnsi="Arial Narrow"/>
          <w:sz w:val="20"/>
          <w:szCs w:val="20"/>
          <w:lang w:eastAsia="sl-SI"/>
        </w:rPr>
        <w:t>,</w:t>
      </w:r>
      <w:r w:rsidRPr="00BD46CA">
        <w:rPr>
          <w:rFonts w:ascii="Arial Narrow" w:eastAsia="Times New Roman" w:hAnsi="Arial Narrow"/>
          <w:sz w:val="20"/>
          <w:szCs w:val="20"/>
          <w:lang w:eastAsia="sl-SI"/>
        </w:rPr>
        <w:t xml:space="preserve"> je komisija preverila tudi, ali pogodbe vsebujejo določila protikorupcijske klavzule. Organi in organizacije javnega sektorja so namreč dolžni v pogodbe, ki jih sklepajo s ponudniki, prodajalci blaga, storitev ali z izvajalci del in presegajo vrednost 10.000 evrov brez DDV, vključiti protikorupcijsko klavzulo</w:t>
      </w:r>
      <w:r w:rsidR="008E342A">
        <w:rPr>
          <w:rFonts w:ascii="Arial Narrow" w:eastAsia="Times New Roman" w:hAnsi="Arial Narrow"/>
          <w:sz w:val="20"/>
          <w:szCs w:val="20"/>
          <w:lang w:eastAsia="sl-SI"/>
        </w:rPr>
        <w:t>,</w:t>
      </w:r>
      <w:r w:rsidRPr="00BD46CA">
        <w:rPr>
          <w:rFonts w:ascii="Arial Narrow" w:eastAsia="Times New Roman" w:hAnsi="Arial Narrow"/>
          <w:sz w:val="20"/>
          <w:szCs w:val="20"/>
          <w:lang w:eastAsia="sl-SI"/>
        </w:rPr>
        <w:t xml:space="preserve"> kot je opredeljena v prvem odstavku 14. člena ZIntPK-B. Komisija je ugotovila, da je Občina Ribnica v vsako pogodbo oziroma aneks vnesla tudi protikorupcijsko klavzulo. Na podlagi navedenega v okviru pridobljenih in pregledanih pogodb komisija ni zasledila sumov kršitev določil ZIntPK o vključitvi protikorupcijske klavzule. </w:t>
      </w: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Zadnji izmed institutov ZIntPK, kateremu je komisija v okviru tematskega nadzora namenila pozornost</w:t>
      </w:r>
      <w:r w:rsidR="008E342A">
        <w:rPr>
          <w:rFonts w:ascii="Arial Narrow" w:hAnsi="Arial Narrow"/>
          <w:sz w:val="20"/>
          <w:szCs w:val="20"/>
        </w:rPr>
        <w:t>,</w:t>
      </w:r>
      <w:r w:rsidRPr="00BD46CA">
        <w:rPr>
          <w:rFonts w:ascii="Arial Narrow" w:hAnsi="Arial Narrow"/>
          <w:sz w:val="20"/>
          <w:szCs w:val="20"/>
        </w:rPr>
        <w:t xml:space="preserve"> je institut nasprotja intereso</w:t>
      </w:r>
      <w:r w:rsidR="00A7750F">
        <w:rPr>
          <w:rFonts w:ascii="Arial Narrow" w:hAnsi="Arial Narrow"/>
          <w:sz w:val="20"/>
          <w:szCs w:val="20"/>
        </w:rPr>
        <w:t>v</w:t>
      </w:r>
      <w:r w:rsidRPr="00BD46CA">
        <w:rPr>
          <w:rFonts w:ascii="Arial Narrow" w:hAnsi="Arial Narrow"/>
          <w:sz w:val="20"/>
          <w:szCs w:val="20"/>
        </w:rPr>
        <w:t>. Določbe ZIntPK ga opredeljuje</w:t>
      </w:r>
      <w:r w:rsidR="00A7750F">
        <w:rPr>
          <w:rFonts w:ascii="Arial Narrow" w:hAnsi="Arial Narrow"/>
          <w:sz w:val="20"/>
          <w:szCs w:val="20"/>
        </w:rPr>
        <w:t>jo</w:t>
      </w:r>
      <w:r w:rsidRPr="00BD46CA">
        <w:rPr>
          <w:rFonts w:ascii="Arial Narrow" w:hAnsi="Arial Narrow"/>
          <w:sz w:val="20"/>
          <w:szCs w:val="20"/>
        </w:rPr>
        <w:t xml:space="preserve"> kot okoliščine, v katerih zasebni interes uradne osebe vpliva ali ustvarja videz, da vpliva na nepristransko in objektivno opravljanje njenih javnih nalog (12. točka 4. člena). Pri tem zasebni interes uradne osebe skladno s 13. točko 4. člena ZIntPK pomeni premoženjsko ali nepremoženjsko korist zanjo, za njene družinske člane in za druge fizične ali pravne osebe, s katerimi uradna oseba ima ali je imela osebne, poslovne ali politične stike. Družinski člani uradne osebe so po določbi 7. točke 4. člena ZIntPK njen zakonec, otroci, posvojenci, starši, posvojitelji, bratje in sestre (ne glede na to, ali živijo v skupnem gospodinjstvu z uradno osebo) ter osebe, ki z uradno osebo živijo v skupnem gospodinjstvu ali v zunajzakonski skupnosti. </w:t>
      </w:r>
    </w:p>
    <w:p w:rsidR="00950741" w:rsidRPr="00BD46CA" w:rsidRDefault="00950741" w:rsidP="00950741">
      <w:pPr>
        <w:spacing w:line="276" w:lineRule="auto"/>
        <w:jc w:val="both"/>
        <w:rPr>
          <w:rFonts w:ascii="Arial Narrow" w:hAnsi="Arial Narrow"/>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Glede na prakso, ki jo komisija zaznava pri svojem delu na področju lokalne samouprave pri spoštovanju določb ZIntPK, menimo, da Občina Ribnica v večini primerov razvija in upošteva ustrezno prakso spoštovanja določb. Pri tem je potrebno poudariti, da je po izkušnjah komisije na področju lokalne samouprave daleč največ kršitev zaznanih na področju spoštovanja določb o nasprotju interesov. Določbe nasprotja interesov so največkrat kršene v primerih imenovanj predstavnikov ustanoviteljev v svete javnih zavodov v lasti občin in lokalnih skupnosti tako na ravni komisij za imenovanja kot kasneje na ravni obravnave na sejah občinskih svetov občin. V konkretnem primeru Občine Ribnica je komisija na navedenem področju zgolj pri dveh občinskih svetnikih (od 18 občinskih svetnikov v 64 pregledanih postopkih imenovanj) zaznala dve kršitvi določb nasprotja interesov.</w:t>
      </w: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r w:rsidRPr="00BD46CA">
        <w:rPr>
          <w:rFonts w:ascii="Arial Narrow" w:hAnsi="Arial Narrow" w:cs="Arial Narrow"/>
          <w:color w:val="000000"/>
          <w:sz w:val="20"/>
          <w:szCs w:val="20"/>
          <w:lang w:eastAsia="sl-SI"/>
        </w:rPr>
        <w:t>Nadzorna skupina je nadzor na področju spoštovanja določb ZIntPK glede dolžnega izogibanja nasprotj</w:t>
      </w:r>
      <w:r w:rsidR="00215E27">
        <w:rPr>
          <w:rFonts w:ascii="Arial Narrow" w:hAnsi="Arial Narrow" w:cs="Arial Narrow"/>
          <w:color w:val="000000"/>
          <w:sz w:val="20"/>
          <w:szCs w:val="20"/>
          <w:lang w:eastAsia="sl-SI"/>
        </w:rPr>
        <w:t>u</w:t>
      </w:r>
      <w:r w:rsidRPr="00BD46CA">
        <w:rPr>
          <w:rFonts w:ascii="Arial Narrow" w:hAnsi="Arial Narrow" w:cs="Arial Narrow"/>
          <w:color w:val="000000"/>
          <w:sz w:val="20"/>
          <w:szCs w:val="20"/>
          <w:lang w:eastAsia="sl-SI"/>
        </w:rPr>
        <w:t xml:space="preserve"> interesov izvedla v več fazah. V prvi fazi je nadzorna skupina od Občine Ribnica pridobila podatke o morebitnih spremembah članstva v občinskem svetu od </w:t>
      </w:r>
      <w:r w:rsidR="00A7750F">
        <w:rPr>
          <w:rFonts w:ascii="Arial Narrow" w:hAnsi="Arial Narrow" w:cs="Arial Narrow"/>
          <w:color w:val="000000"/>
          <w:sz w:val="20"/>
          <w:szCs w:val="20"/>
          <w:lang w:eastAsia="sl-SI"/>
        </w:rPr>
        <w:t xml:space="preserve">začetka </w:t>
      </w:r>
      <w:r w:rsidRPr="00BD46CA">
        <w:rPr>
          <w:rFonts w:ascii="Arial Narrow" w:hAnsi="Arial Narrow" w:cs="Arial Narrow"/>
          <w:color w:val="000000"/>
          <w:sz w:val="20"/>
          <w:szCs w:val="20"/>
          <w:lang w:eastAsia="sl-SI"/>
        </w:rPr>
        <w:t xml:space="preserve">mandata </w:t>
      </w:r>
      <w:r w:rsidR="00A7750F">
        <w:rPr>
          <w:rFonts w:ascii="Arial Narrow" w:hAnsi="Arial Narrow" w:cs="Arial Narrow"/>
          <w:color w:val="000000"/>
          <w:sz w:val="20"/>
          <w:szCs w:val="20"/>
          <w:lang w:eastAsia="sl-SI"/>
        </w:rPr>
        <w:t xml:space="preserve">leta </w:t>
      </w:r>
      <w:r w:rsidRPr="00BD46CA">
        <w:rPr>
          <w:rFonts w:ascii="Arial Narrow" w:hAnsi="Arial Narrow" w:cs="Arial Narrow"/>
          <w:color w:val="000000"/>
          <w:sz w:val="20"/>
          <w:szCs w:val="20"/>
          <w:lang w:eastAsia="sl-SI"/>
        </w:rPr>
        <w:t xml:space="preserve">2014 dalje, vse zapisnike sej Komisije za mandatna vprašanja, volitve in imenovanja (v nadaljevanju: KMVVI) od </w:t>
      </w:r>
      <w:r w:rsidR="00A7750F">
        <w:rPr>
          <w:rFonts w:ascii="Arial Narrow" w:hAnsi="Arial Narrow" w:cs="Arial Narrow"/>
          <w:color w:val="000000"/>
          <w:sz w:val="20"/>
          <w:szCs w:val="20"/>
          <w:lang w:eastAsia="sl-SI"/>
        </w:rPr>
        <w:t xml:space="preserve">začetka </w:t>
      </w:r>
      <w:r w:rsidRPr="00BD46CA">
        <w:rPr>
          <w:rFonts w:ascii="Arial Narrow" w:hAnsi="Arial Narrow" w:cs="Arial Narrow"/>
          <w:color w:val="000000"/>
          <w:sz w:val="20"/>
          <w:szCs w:val="20"/>
          <w:lang w:eastAsia="sl-SI"/>
        </w:rPr>
        <w:t xml:space="preserve">mandata </w:t>
      </w:r>
      <w:r w:rsidR="00A7750F">
        <w:rPr>
          <w:rFonts w:ascii="Arial Narrow" w:hAnsi="Arial Narrow" w:cs="Arial Narrow"/>
          <w:color w:val="000000"/>
          <w:sz w:val="20"/>
          <w:szCs w:val="20"/>
          <w:lang w:eastAsia="sl-SI"/>
        </w:rPr>
        <w:t xml:space="preserve">leta </w:t>
      </w:r>
      <w:r w:rsidRPr="00BD46CA">
        <w:rPr>
          <w:rFonts w:ascii="Arial Narrow" w:hAnsi="Arial Narrow" w:cs="Arial Narrow"/>
          <w:color w:val="000000"/>
          <w:sz w:val="20"/>
          <w:szCs w:val="20"/>
          <w:lang w:eastAsia="sl-SI"/>
        </w:rPr>
        <w:t xml:space="preserve">2014 dalje, podatke o vseh </w:t>
      </w:r>
      <w:proofErr w:type="spellStart"/>
      <w:r w:rsidRPr="00BD46CA">
        <w:rPr>
          <w:rFonts w:ascii="Arial Narrow" w:hAnsi="Arial Narrow" w:cs="Arial Narrow"/>
          <w:color w:val="000000"/>
          <w:sz w:val="20"/>
          <w:szCs w:val="20"/>
          <w:lang w:eastAsia="sl-SI"/>
        </w:rPr>
        <w:t>članstvih</w:t>
      </w:r>
      <w:proofErr w:type="spellEnd"/>
      <w:r w:rsidRPr="00BD46CA">
        <w:rPr>
          <w:rFonts w:ascii="Arial Narrow" w:hAnsi="Arial Narrow" w:cs="Arial Narrow"/>
          <w:color w:val="000000"/>
          <w:sz w:val="20"/>
          <w:szCs w:val="20"/>
          <w:lang w:eastAsia="sl-SI"/>
        </w:rPr>
        <w:t xml:space="preserve"> in imenovanjih </w:t>
      </w:r>
      <w:r w:rsidRPr="00BD46CA">
        <w:rPr>
          <w:rFonts w:ascii="Arial Narrow" w:hAnsi="Arial Narrow" w:cs="Arial Narrow"/>
          <w:color w:val="000000"/>
          <w:sz w:val="20"/>
          <w:szCs w:val="20"/>
          <w:lang w:eastAsia="sl-SI"/>
        </w:rPr>
        <w:lastRenderedPageBreak/>
        <w:t>predstavnikov Občine Ribnica v druge subjekte v obravnavanem obdobju, podatke o imenovanju delovnih teles, komisij in drugih organov občine v obravnavanem obdobju, podatke o izvedenih zaposlitvah v Občini Ribnica v obravnavanem obdobju, podatke o predstavnikih krajevnih skupnosti ter informacijo o tem, ali je kdo izmed njih občinski funkcionar Občine Ribnica. V nadaljnji fazi so bili navedeni podatki pregledani in ovrednoteni, pridobljeni so bili še vsi manjkajoči podatki za izvedbo nadzora nad spoštovanjem določb instituta nasprotja interesov. V okviru presoje instituta nasprotja interesov so bili pregledani vsi pridobljeni podatki, dokumentacija (predvsem zapisniki sej delovnih teles in občinskega sveta), hkrati pa je bila nadzorna skupina pozorna na morebitne zabeležke nadzorovanega subjekta o tem, da se je n</w:t>
      </w:r>
      <w:r w:rsidR="001A3824">
        <w:rPr>
          <w:rFonts w:ascii="Arial Narrow" w:hAnsi="Arial Narrow" w:cs="Arial Narrow"/>
          <w:color w:val="000000"/>
          <w:sz w:val="20"/>
          <w:szCs w:val="20"/>
          <w:lang w:eastAsia="sl-SI"/>
        </w:rPr>
        <w:t>a primer</w:t>
      </w:r>
      <w:r w:rsidRPr="00BD46CA">
        <w:rPr>
          <w:rFonts w:ascii="Arial Narrow" w:hAnsi="Arial Narrow" w:cs="Arial Narrow"/>
          <w:color w:val="000000"/>
          <w:sz w:val="20"/>
          <w:szCs w:val="20"/>
          <w:lang w:eastAsia="sl-SI"/>
        </w:rPr>
        <w:t xml:space="preserve"> občinski svetnik pri odločanju oz</w:t>
      </w:r>
      <w:r w:rsidR="001A3824">
        <w:rPr>
          <w:rFonts w:ascii="Arial Narrow" w:hAnsi="Arial Narrow" w:cs="Arial Narrow"/>
          <w:color w:val="000000"/>
          <w:sz w:val="20"/>
          <w:szCs w:val="20"/>
          <w:lang w:eastAsia="sl-SI"/>
        </w:rPr>
        <w:t>iroma</w:t>
      </w:r>
      <w:r w:rsidRPr="00BD46CA">
        <w:rPr>
          <w:rFonts w:ascii="Arial Narrow" w:hAnsi="Arial Narrow" w:cs="Arial Narrow"/>
          <w:color w:val="000000"/>
          <w:sz w:val="20"/>
          <w:szCs w:val="20"/>
          <w:lang w:eastAsia="sl-SI"/>
        </w:rPr>
        <w:t xml:space="preserve"> glasovanju o sebi ali svojem družinskem članu bodisi </w:t>
      </w:r>
      <w:proofErr w:type="spellStart"/>
      <w:r w:rsidRPr="00BD46CA">
        <w:rPr>
          <w:rFonts w:ascii="Arial Narrow" w:hAnsi="Arial Narrow" w:cs="Arial Narrow"/>
          <w:color w:val="000000"/>
          <w:sz w:val="20"/>
          <w:szCs w:val="20"/>
          <w:lang w:eastAsia="sl-SI"/>
        </w:rPr>
        <w:t>samoizločil</w:t>
      </w:r>
      <w:proofErr w:type="spellEnd"/>
      <w:r w:rsidRPr="00BD46CA">
        <w:rPr>
          <w:rFonts w:ascii="Arial Narrow" w:hAnsi="Arial Narrow" w:cs="Arial Narrow"/>
          <w:color w:val="000000"/>
          <w:sz w:val="20"/>
          <w:szCs w:val="20"/>
          <w:lang w:eastAsia="sl-SI"/>
        </w:rPr>
        <w:t xml:space="preserve"> ali pred odločanjem pisno obveščal predsedujočega o obstoju nasprotja interesov. </w:t>
      </w: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r w:rsidRPr="00BD46CA">
        <w:rPr>
          <w:rFonts w:ascii="Arial Narrow" w:hAnsi="Arial Narrow" w:cs="Arial Narrow"/>
          <w:color w:val="000000"/>
          <w:sz w:val="20"/>
          <w:szCs w:val="20"/>
          <w:lang w:eastAsia="sl-SI"/>
        </w:rPr>
        <w:t>Nadzorna skupina je na podlagi pregleda posredovanih podatkov ugotovila, da je Občinski svet Občine Ribnica v nadzorovanem obdobju</w:t>
      </w:r>
      <w:r w:rsidRPr="00BD46CA">
        <w:rPr>
          <w:rFonts w:ascii="Arial Narrow" w:hAnsi="Arial Narrow" w:cs="Calibri"/>
          <w:color w:val="000000"/>
          <w:sz w:val="20"/>
          <w:szCs w:val="20"/>
          <w:lang w:eastAsia="sl-SI"/>
        </w:rPr>
        <w:t xml:space="preserve"> </w:t>
      </w:r>
      <w:r w:rsidRPr="00BD46CA">
        <w:rPr>
          <w:rFonts w:ascii="Arial Narrow" w:hAnsi="Arial Narrow" w:cs="Arial Narrow"/>
          <w:color w:val="000000"/>
          <w:sz w:val="20"/>
          <w:szCs w:val="20"/>
          <w:lang w:eastAsia="sl-SI"/>
        </w:rPr>
        <w:t>izvedel skupno 32 imenovanj posameznikov v subjekte javnega ali zasebnega sektorja oz</w:t>
      </w:r>
      <w:r w:rsidR="001A3824">
        <w:rPr>
          <w:rFonts w:ascii="Arial Narrow" w:hAnsi="Arial Narrow" w:cs="Arial Narrow"/>
          <w:color w:val="000000"/>
          <w:sz w:val="20"/>
          <w:szCs w:val="20"/>
          <w:lang w:eastAsia="sl-SI"/>
        </w:rPr>
        <w:t>iroma</w:t>
      </w:r>
      <w:r w:rsidRPr="00BD46CA">
        <w:rPr>
          <w:rFonts w:ascii="Arial Narrow" w:hAnsi="Arial Narrow" w:cs="Arial Narrow"/>
          <w:color w:val="000000"/>
          <w:sz w:val="20"/>
          <w:szCs w:val="20"/>
          <w:lang w:eastAsia="sl-SI"/>
        </w:rPr>
        <w:t xml:space="preserve"> 64 postopkov, če upoštevamo, da gre za dvostopenjski</w:t>
      </w:r>
      <w:r w:rsidR="00477009">
        <w:rPr>
          <w:rFonts w:ascii="Arial Narrow" w:hAnsi="Arial Narrow" w:cs="Arial Narrow"/>
          <w:color w:val="000000"/>
          <w:sz w:val="20"/>
          <w:szCs w:val="20"/>
          <w:lang w:eastAsia="sl-SI"/>
        </w:rPr>
        <w:t xml:space="preserve"> </w:t>
      </w:r>
      <w:r w:rsidRPr="00BD46CA">
        <w:rPr>
          <w:rFonts w:ascii="Arial Narrow" w:hAnsi="Arial Narrow" w:cs="Arial Narrow"/>
          <w:color w:val="000000"/>
          <w:sz w:val="20"/>
          <w:szCs w:val="20"/>
          <w:lang w:eastAsia="sl-SI"/>
        </w:rPr>
        <w:t xml:space="preserve">postopek izbire in imenovanj posameznikov v subjekte javnega ali zasebnega sektorja. Nadzorna skupina je izmed navedenih 64 postopkov imenovanj identificirala </w:t>
      </w:r>
      <w:r w:rsidR="00215E27">
        <w:rPr>
          <w:rFonts w:ascii="Arial Narrow" w:hAnsi="Arial Narrow" w:cs="Arial Narrow"/>
          <w:color w:val="000000"/>
          <w:sz w:val="20"/>
          <w:szCs w:val="20"/>
          <w:lang w:eastAsia="sl-SI"/>
        </w:rPr>
        <w:t>šest</w:t>
      </w:r>
      <w:r w:rsidRPr="00BD46CA">
        <w:rPr>
          <w:rFonts w:ascii="Arial Narrow" w:hAnsi="Arial Narrow" w:cs="Arial Narrow"/>
          <w:color w:val="000000"/>
          <w:sz w:val="20"/>
          <w:szCs w:val="20"/>
          <w:lang w:eastAsia="sl-SI"/>
        </w:rPr>
        <w:t xml:space="preserve"> postopkov, pri katerih bi lahko obstajale potencialne kršitve dolžnega izogibanja nasprotju interesov. V </w:t>
      </w:r>
      <w:r w:rsidR="00215E27">
        <w:rPr>
          <w:rFonts w:ascii="Arial Narrow" w:hAnsi="Arial Narrow" w:cs="Arial Narrow"/>
          <w:color w:val="000000"/>
          <w:sz w:val="20"/>
          <w:szCs w:val="20"/>
          <w:lang w:eastAsia="sl-SI"/>
        </w:rPr>
        <w:t>pet</w:t>
      </w:r>
      <w:r w:rsidRPr="00BD46CA">
        <w:rPr>
          <w:rFonts w:ascii="Arial Narrow" w:hAnsi="Arial Narrow" w:cs="Arial Narrow"/>
          <w:color w:val="000000"/>
          <w:sz w:val="20"/>
          <w:szCs w:val="20"/>
          <w:lang w:eastAsia="sl-SI"/>
        </w:rPr>
        <w:t xml:space="preserve">ih od </w:t>
      </w:r>
      <w:r w:rsidR="00215E27">
        <w:rPr>
          <w:rFonts w:ascii="Arial Narrow" w:hAnsi="Arial Narrow" w:cs="Arial Narrow"/>
          <w:color w:val="000000"/>
          <w:sz w:val="20"/>
          <w:szCs w:val="20"/>
          <w:lang w:eastAsia="sl-SI"/>
        </w:rPr>
        <w:t>šest</w:t>
      </w:r>
      <w:r w:rsidRPr="00BD46CA">
        <w:rPr>
          <w:rFonts w:ascii="Arial Narrow" w:hAnsi="Arial Narrow" w:cs="Arial Narrow"/>
          <w:color w:val="000000"/>
          <w:sz w:val="20"/>
          <w:szCs w:val="20"/>
          <w:lang w:eastAsia="sl-SI"/>
        </w:rPr>
        <w:t>ih primerov je bil v subjekte javnega ali zasebnega sektorja imenovan član občinskega sveta</w:t>
      </w:r>
      <w:r w:rsidR="00215E27">
        <w:rPr>
          <w:rFonts w:ascii="Arial Narrow" w:hAnsi="Arial Narrow" w:cs="Arial Narrow"/>
          <w:color w:val="000000"/>
          <w:sz w:val="20"/>
          <w:szCs w:val="20"/>
          <w:lang w:eastAsia="sl-SI"/>
        </w:rPr>
        <w:t xml:space="preserve"> in</w:t>
      </w:r>
      <w:r w:rsidRPr="00BD46CA">
        <w:rPr>
          <w:rFonts w:ascii="Arial Narrow" w:hAnsi="Arial Narrow" w:cs="Arial Narrow"/>
          <w:color w:val="000000"/>
          <w:sz w:val="20"/>
          <w:szCs w:val="20"/>
          <w:lang w:eastAsia="sl-SI"/>
        </w:rPr>
        <w:t xml:space="preserve"> v enem primeru je bil v subjekt javnega ali zasebnega sektorja imenovan družinski član člana občinskega sveta. Nadzorna skupina je zgolj v enem izmed prej omenjenih potencialno spornih postopkov imenovanj ugotovila, da se je občinska svetnica izločila iz postopka glasovanja o sam</w:t>
      </w:r>
      <w:r w:rsidR="00215E27">
        <w:rPr>
          <w:rFonts w:ascii="Arial Narrow" w:hAnsi="Arial Narrow" w:cs="Arial Narrow"/>
          <w:color w:val="000000"/>
          <w:sz w:val="20"/>
          <w:szCs w:val="20"/>
          <w:lang w:eastAsia="sl-SI"/>
        </w:rPr>
        <w:t>i</w:t>
      </w:r>
      <w:r w:rsidRPr="00BD46CA">
        <w:rPr>
          <w:rFonts w:ascii="Arial Narrow" w:hAnsi="Arial Narrow" w:cs="Arial Narrow"/>
          <w:color w:val="000000"/>
          <w:sz w:val="20"/>
          <w:szCs w:val="20"/>
          <w:lang w:eastAsia="sl-SI"/>
        </w:rPr>
        <w:t xml:space="preserve"> sebi kot kandidatki za prosto delovno mesto. Šlo je za postopek imenovanja poslovodne osebe določenega javnega zavoda. V preostalih </w:t>
      </w:r>
      <w:r w:rsidR="00215E27">
        <w:rPr>
          <w:rFonts w:ascii="Arial Narrow" w:hAnsi="Arial Narrow" w:cs="Arial Narrow"/>
          <w:color w:val="000000"/>
          <w:sz w:val="20"/>
          <w:szCs w:val="20"/>
          <w:lang w:eastAsia="sl-SI"/>
        </w:rPr>
        <w:t>pet</w:t>
      </w:r>
      <w:r w:rsidRPr="00BD46CA">
        <w:rPr>
          <w:rFonts w:ascii="Arial Narrow" w:hAnsi="Arial Narrow" w:cs="Arial Narrow"/>
          <w:color w:val="000000"/>
          <w:sz w:val="20"/>
          <w:szCs w:val="20"/>
          <w:lang w:eastAsia="sl-SI"/>
        </w:rPr>
        <w:t>ih primerih (šlo je za postopke imenovanj predstavnikov Občine Ribnica v svete javnih zavodov) ni bilo razvidno, da bi se oseba, ki je glasovala o sam</w:t>
      </w:r>
      <w:r w:rsidR="00215E27">
        <w:rPr>
          <w:rFonts w:ascii="Arial Narrow" w:hAnsi="Arial Narrow" w:cs="Arial Narrow"/>
          <w:color w:val="000000"/>
          <w:sz w:val="20"/>
          <w:szCs w:val="20"/>
          <w:lang w:eastAsia="sl-SI"/>
        </w:rPr>
        <w:t>i</w:t>
      </w:r>
      <w:r w:rsidRPr="00BD46CA">
        <w:rPr>
          <w:rFonts w:ascii="Arial Narrow" w:hAnsi="Arial Narrow" w:cs="Arial Narrow"/>
          <w:color w:val="000000"/>
          <w:sz w:val="20"/>
          <w:szCs w:val="20"/>
          <w:lang w:eastAsia="sl-SI"/>
        </w:rPr>
        <w:t xml:space="preserve"> sebi ali o svojem družinskem članu, iz postopka izločila ali pisno obvestila predsedujočega (tj. župana) o obstoju okoliščin nasprotja interesov. </w:t>
      </w: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r w:rsidRPr="00BD46CA">
        <w:rPr>
          <w:rFonts w:ascii="Arial Narrow" w:hAnsi="Arial Narrow" w:cs="Arial Narrow"/>
          <w:color w:val="000000"/>
          <w:sz w:val="20"/>
          <w:szCs w:val="20"/>
          <w:lang w:eastAsia="sl-SI"/>
        </w:rPr>
        <w:t xml:space="preserve">Zgolj v dveh </w:t>
      </w:r>
      <w:r w:rsidR="00215E27" w:rsidRPr="00BD46CA">
        <w:rPr>
          <w:rFonts w:ascii="Arial Narrow" w:hAnsi="Arial Narrow" w:cs="Arial Narrow"/>
          <w:color w:val="000000"/>
          <w:sz w:val="20"/>
          <w:szCs w:val="20"/>
          <w:lang w:eastAsia="sl-SI"/>
        </w:rPr>
        <w:t xml:space="preserve">primerih </w:t>
      </w:r>
      <w:r w:rsidRPr="00BD46CA">
        <w:rPr>
          <w:rFonts w:ascii="Arial Narrow" w:hAnsi="Arial Narrow" w:cs="Arial Narrow"/>
          <w:color w:val="000000"/>
          <w:sz w:val="20"/>
          <w:szCs w:val="20"/>
          <w:lang w:eastAsia="sl-SI"/>
        </w:rPr>
        <w:t xml:space="preserve">(od navedenih petih) je nadzorna skupina ugotovila, da še ni potekel dveletni rok od opravljenih uradnih dejanj, ko lahko komisija še uvede postopek ugotavljanja nasprotja interesov. V navedenih primerih je komisija uvedla ločena postopka, v sklopu katerih je presodila morebitne kršitve določb ZIntPK in izvedla ustrezne ukrepe. V preostalih </w:t>
      </w:r>
      <w:r w:rsidR="00215E27">
        <w:rPr>
          <w:rFonts w:ascii="Arial Narrow" w:hAnsi="Arial Narrow" w:cs="Arial Narrow"/>
          <w:color w:val="000000"/>
          <w:sz w:val="20"/>
          <w:szCs w:val="20"/>
          <w:lang w:eastAsia="sl-SI"/>
        </w:rPr>
        <w:t>pet</w:t>
      </w:r>
      <w:r w:rsidRPr="00BD46CA">
        <w:rPr>
          <w:rFonts w:ascii="Arial Narrow" w:hAnsi="Arial Narrow" w:cs="Arial Narrow"/>
          <w:color w:val="000000"/>
          <w:sz w:val="20"/>
          <w:szCs w:val="20"/>
          <w:lang w:eastAsia="sl-SI"/>
        </w:rPr>
        <w:t xml:space="preserve">ih primerih pa postopka ni bilo možno uvesti, saj je na podlagi četrtega odstavka 39. člena ZIntPK že nastopilo zastaranje. </w:t>
      </w: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p>
    <w:p w:rsidR="00950741" w:rsidRPr="00BD46CA" w:rsidRDefault="00950741" w:rsidP="00950741">
      <w:pPr>
        <w:autoSpaceDE w:val="0"/>
        <w:autoSpaceDN w:val="0"/>
        <w:adjustRightInd w:val="0"/>
        <w:spacing w:line="276" w:lineRule="auto"/>
        <w:jc w:val="both"/>
        <w:rPr>
          <w:rFonts w:ascii="Arial Narrow" w:hAnsi="Arial Narrow" w:cs="Arial Narrow"/>
          <w:color w:val="000000"/>
          <w:sz w:val="20"/>
          <w:szCs w:val="20"/>
          <w:lang w:eastAsia="sl-SI"/>
        </w:rPr>
      </w:pPr>
      <w:r w:rsidRPr="00BD46CA">
        <w:rPr>
          <w:rFonts w:ascii="Arial Narrow" w:hAnsi="Arial Narrow" w:cs="Arial Narrow"/>
          <w:color w:val="000000"/>
          <w:sz w:val="20"/>
          <w:szCs w:val="20"/>
          <w:lang w:eastAsia="sl-SI"/>
        </w:rPr>
        <w:t xml:space="preserve">Nadzorna skupina je pregledala tudi postopke imenovanj posameznikov v delovna telesa </w:t>
      </w:r>
      <w:r w:rsidR="00876441">
        <w:rPr>
          <w:rFonts w:ascii="Arial Narrow" w:hAnsi="Arial Narrow" w:cs="Arial Narrow"/>
          <w:color w:val="000000"/>
          <w:sz w:val="20"/>
          <w:szCs w:val="20"/>
          <w:lang w:eastAsia="sl-SI"/>
        </w:rPr>
        <w:t>o</w:t>
      </w:r>
      <w:r w:rsidRPr="00BD46CA">
        <w:rPr>
          <w:rFonts w:ascii="Arial Narrow" w:hAnsi="Arial Narrow" w:cs="Arial Narrow"/>
          <w:color w:val="000000"/>
          <w:sz w:val="20"/>
          <w:szCs w:val="20"/>
          <w:lang w:eastAsia="sl-SI"/>
        </w:rPr>
        <w:t>bčinskega sveta. S pomočjo filtrov so bila pregledana zgolj imenovanja zunanjih članov. Sorodstvena razmerja oz</w:t>
      </w:r>
      <w:r w:rsidR="001A3824">
        <w:rPr>
          <w:rFonts w:ascii="Arial Narrow" w:hAnsi="Arial Narrow" w:cs="Arial Narrow"/>
          <w:color w:val="000000"/>
          <w:sz w:val="20"/>
          <w:szCs w:val="20"/>
          <w:lang w:eastAsia="sl-SI"/>
        </w:rPr>
        <w:t>iroma</w:t>
      </w:r>
      <w:r w:rsidRPr="00BD46CA">
        <w:rPr>
          <w:rFonts w:ascii="Arial Narrow" w:hAnsi="Arial Narrow" w:cs="Arial Narrow"/>
          <w:color w:val="000000"/>
          <w:sz w:val="20"/>
          <w:szCs w:val="20"/>
          <w:lang w:eastAsia="sl-SI"/>
        </w:rPr>
        <w:t xml:space="preserve"> minimalni obseg osebnih stikov, ki je že pomemben, ko govorimo o obstoju nasprotja interesov, je opredeljen pod pojmom družinskih članov</w:t>
      </w:r>
      <w:r w:rsidR="001A3824">
        <w:rPr>
          <w:rFonts w:ascii="Arial Narrow" w:hAnsi="Arial Narrow" w:cs="Arial Narrow"/>
          <w:color w:val="000000"/>
          <w:sz w:val="20"/>
          <w:szCs w:val="20"/>
          <w:lang w:eastAsia="sl-SI"/>
        </w:rPr>
        <w:t>;</w:t>
      </w:r>
      <w:r w:rsidRPr="00BD46CA">
        <w:rPr>
          <w:rFonts w:ascii="Arial Narrow" w:hAnsi="Arial Narrow" w:cs="Arial Narrow"/>
          <w:color w:val="000000"/>
          <w:sz w:val="20"/>
          <w:szCs w:val="20"/>
          <w:lang w:eastAsia="sl-SI"/>
        </w:rPr>
        <w:t xml:space="preserve"> to so zakonec, otroci, posvojenci, starši, posvojitelji, bratje, sestre in osebe, ki s posameznikom živijo v skupnem gospodinjstvu ali v zunajzakonski skupnosti. S pregledom podatkov preko aplikacije E-RISK nadzorna skupina ni zaznala obstoja sorodstvenih razmerij med zunanjimi člani in občinskimi funkcionarji. Čeprav gre za nemalo število primerov, ko obstaja ujemanje po priimkih zunanjih članov in članov </w:t>
      </w:r>
      <w:r w:rsidR="00876441">
        <w:rPr>
          <w:rFonts w:ascii="Arial Narrow" w:hAnsi="Arial Narrow" w:cs="Arial Narrow"/>
          <w:color w:val="000000"/>
          <w:sz w:val="20"/>
          <w:szCs w:val="20"/>
          <w:lang w:eastAsia="sl-SI"/>
        </w:rPr>
        <w:t>o</w:t>
      </w:r>
      <w:r w:rsidR="00215E27">
        <w:rPr>
          <w:rFonts w:ascii="Arial Narrow" w:hAnsi="Arial Narrow" w:cs="Arial Narrow"/>
          <w:color w:val="000000"/>
          <w:sz w:val="20"/>
          <w:szCs w:val="20"/>
          <w:lang w:eastAsia="sl-SI"/>
        </w:rPr>
        <w:t>bčinskega sveta</w:t>
      </w:r>
      <w:r w:rsidRPr="00BD46CA">
        <w:rPr>
          <w:rFonts w:ascii="Arial Narrow" w:hAnsi="Arial Narrow" w:cs="Arial Narrow"/>
          <w:color w:val="000000"/>
          <w:sz w:val="20"/>
          <w:szCs w:val="20"/>
          <w:lang w:eastAsia="sl-SI"/>
        </w:rPr>
        <w:t>, pa nadzorna skupina ugotavlja, da gre za relativno majhno občino z določenimi priimki, ki so pogosteje prisotni oz</w:t>
      </w:r>
      <w:r w:rsidR="00215748">
        <w:rPr>
          <w:rFonts w:ascii="Arial Narrow" w:hAnsi="Arial Narrow" w:cs="Arial Narrow"/>
          <w:color w:val="000000"/>
          <w:sz w:val="20"/>
          <w:szCs w:val="20"/>
          <w:lang w:eastAsia="sl-SI"/>
        </w:rPr>
        <w:t>iroma</w:t>
      </w:r>
      <w:r w:rsidRPr="00BD46CA">
        <w:rPr>
          <w:rFonts w:ascii="Arial Narrow" w:hAnsi="Arial Narrow" w:cs="Arial Narrow"/>
          <w:color w:val="000000"/>
          <w:sz w:val="20"/>
          <w:szCs w:val="20"/>
          <w:lang w:eastAsia="sl-SI"/>
        </w:rPr>
        <w:t xml:space="preserve"> v večjem številu zastopani v </w:t>
      </w:r>
      <w:r w:rsidR="00876441">
        <w:rPr>
          <w:rFonts w:ascii="Arial Narrow" w:hAnsi="Arial Narrow" w:cs="Arial Narrow"/>
          <w:color w:val="000000"/>
          <w:sz w:val="20"/>
          <w:szCs w:val="20"/>
          <w:lang w:eastAsia="sl-SI"/>
        </w:rPr>
        <w:t>o</w:t>
      </w:r>
      <w:r w:rsidR="00215E27">
        <w:rPr>
          <w:rFonts w:ascii="Arial Narrow" w:hAnsi="Arial Narrow" w:cs="Arial Narrow"/>
          <w:color w:val="000000"/>
          <w:sz w:val="20"/>
          <w:szCs w:val="20"/>
          <w:lang w:eastAsia="sl-SI"/>
        </w:rPr>
        <w:t>bčinskem svetu</w:t>
      </w:r>
      <w:r w:rsidRPr="00BD46CA">
        <w:rPr>
          <w:rFonts w:ascii="Arial Narrow" w:hAnsi="Arial Narrow" w:cs="Arial Narrow"/>
          <w:color w:val="000000"/>
          <w:sz w:val="20"/>
          <w:szCs w:val="20"/>
          <w:lang w:eastAsia="sl-SI"/>
        </w:rPr>
        <w:t xml:space="preserve">, delovnih telesih in subjektih javnega ali zasebnega sektorja, katerih ustanoviteljica je Občina Ribnica, pri čemer med osebami z istim priimkom pogosto ne gre za osebe, ki bi bile v ožjem sorodstvenem razmerju z občinskimi funkcionarji, kot je opredeljeno z ZIntPK. </w:t>
      </w:r>
    </w:p>
    <w:p w:rsidR="00950741" w:rsidRPr="00BD46CA" w:rsidRDefault="00950741" w:rsidP="00950741">
      <w:pPr>
        <w:spacing w:line="276" w:lineRule="auto"/>
        <w:jc w:val="both"/>
        <w:rPr>
          <w:rFonts w:ascii="Arial Narrow" w:hAnsi="Arial Narrow"/>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Na podlagi zgoraj navedenih ugotovitev je komisija dne 26. 3. 2018 na lastno pobudo uvedla postopka zaradi kršitve predpisov o nasprotju interesov. V zadevi št. 06211-27/2018</w:t>
      </w:r>
      <w:r w:rsidR="00215E27">
        <w:rPr>
          <w:rFonts w:ascii="Arial Narrow" w:hAnsi="Arial Narrow"/>
          <w:sz w:val="20"/>
          <w:szCs w:val="20"/>
        </w:rPr>
        <w:t>,</w:t>
      </w:r>
      <w:r w:rsidRPr="00BD46CA">
        <w:rPr>
          <w:rFonts w:ascii="Arial Narrow" w:hAnsi="Arial Narrow"/>
          <w:sz w:val="20"/>
          <w:szCs w:val="20"/>
        </w:rPr>
        <w:t xml:space="preserve"> vodeni zoper uradno osebo – občinsko svetnico</w:t>
      </w:r>
      <w:r w:rsidR="00215E27">
        <w:rPr>
          <w:rFonts w:ascii="Arial Narrow" w:hAnsi="Arial Narrow"/>
          <w:sz w:val="20"/>
          <w:szCs w:val="20"/>
        </w:rPr>
        <w:t>,</w:t>
      </w:r>
      <w:r w:rsidRPr="00BD46CA">
        <w:rPr>
          <w:rFonts w:ascii="Arial Narrow" w:hAnsi="Arial Narrow"/>
          <w:sz w:val="20"/>
          <w:szCs w:val="20"/>
        </w:rPr>
        <w:t xml:space="preserve"> je komisija ugotovila, da se je občinska svetnica Občine Ribnica s tem, ko se dne 6. 10. 2016 na 10. redni seji Občinskega sveta Občine Ribnica pri glasovanju za njeno imenovanje v Svet zavoda Glasbene šole Ribnica ni izločila iz glasovanja, znašla v okoliščinah nasprotja interesov, kot jih opredeljujejo določbe 37. in 38. člena ZIntPK. S tem, ko o okoliščinah nasprotja interesov ni pisno obvestila predsedujočega seji Občinskega sveta Občine Ribnica, župana Občine Ribnica, je kršila prvi odstavek 38. člena ZIntPK. Omenjene ugotovitve o posameznem primeru je senat komisije sprejel na 12. seji dne 19. 4. 2018. Ugotovitve so bile umeščene v obdobno poročilo o nasprotju interesov, prav tako pa je bil zoper omenjeno občinsko svetnico uveden </w:t>
      </w:r>
      <w:proofErr w:type="spellStart"/>
      <w:r w:rsidRPr="00BD46CA">
        <w:rPr>
          <w:rFonts w:ascii="Arial Narrow" w:hAnsi="Arial Narrow"/>
          <w:sz w:val="20"/>
          <w:szCs w:val="20"/>
        </w:rPr>
        <w:t>prekrškovni</w:t>
      </w:r>
      <w:proofErr w:type="spellEnd"/>
      <w:r w:rsidRPr="00BD46CA">
        <w:rPr>
          <w:rFonts w:ascii="Arial Narrow" w:hAnsi="Arial Narrow"/>
          <w:sz w:val="20"/>
          <w:szCs w:val="20"/>
        </w:rPr>
        <w:t xml:space="preserve"> postopek. V zadevi št. 06211-29/2018</w:t>
      </w:r>
      <w:r w:rsidR="00876441">
        <w:rPr>
          <w:rFonts w:ascii="Arial Narrow" w:hAnsi="Arial Narrow"/>
          <w:sz w:val="20"/>
          <w:szCs w:val="20"/>
        </w:rPr>
        <w:t>,</w:t>
      </w:r>
      <w:r w:rsidRPr="00BD46CA">
        <w:rPr>
          <w:rFonts w:ascii="Arial Narrow" w:hAnsi="Arial Narrow"/>
          <w:sz w:val="20"/>
          <w:szCs w:val="20"/>
        </w:rPr>
        <w:t xml:space="preserve"> vodeni zoper uradno osebo – občinskega svetnika</w:t>
      </w:r>
      <w:r w:rsidR="00876441">
        <w:rPr>
          <w:rFonts w:ascii="Arial Narrow" w:hAnsi="Arial Narrow"/>
          <w:sz w:val="20"/>
          <w:szCs w:val="20"/>
        </w:rPr>
        <w:t>,</w:t>
      </w:r>
      <w:r w:rsidRPr="00BD46CA">
        <w:rPr>
          <w:rFonts w:ascii="Arial Narrow" w:hAnsi="Arial Narrow"/>
          <w:sz w:val="20"/>
          <w:szCs w:val="20"/>
        </w:rPr>
        <w:t xml:space="preserve"> je komisija ugotovila, da se je občinski svetnik s tem, ko se dne 1. 12. 2016 na 11. redni seji Občinskega sveta Občine Ribnica pri glasovanju za njegovo imenovanje v Svet javnega zavoda Knjižnica </w:t>
      </w:r>
      <w:proofErr w:type="spellStart"/>
      <w:r w:rsidRPr="00BD46CA">
        <w:rPr>
          <w:rFonts w:ascii="Arial Narrow" w:hAnsi="Arial Narrow"/>
          <w:sz w:val="20"/>
          <w:szCs w:val="20"/>
        </w:rPr>
        <w:t>Miklova</w:t>
      </w:r>
      <w:proofErr w:type="spellEnd"/>
      <w:r w:rsidRPr="00BD46CA">
        <w:rPr>
          <w:rFonts w:ascii="Arial Narrow" w:hAnsi="Arial Narrow"/>
          <w:sz w:val="20"/>
          <w:szCs w:val="20"/>
        </w:rPr>
        <w:t xml:space="preserve"> hiša ni izločil iz glasovanja, znašel v okoliščinah nasprotja interesov, kot jih opredeljujejo določbe 37. in 38. člena ZIntPK. S tem, ko o okoliščinah nasprotja interesov ni pisno obvestil predsedujočega seji Občinskega sveta Občine Ribnica, župana Občine Ribnica, je kršil prvi </w:t>
      </w:r>
      <w:r w:rsidRPr="00BD46CA">
        <w:rPr>
          <w:rFonts w:ascii="Arial Narrow" w:hAnsi="Arial Narrow"/>
          <w:sz w:val="20"/>
          <w:szCs w:val="20"/>
        </w:rPr>
        <w:lastRenderedPageBreak/>
        <w:t xml:space="preserve">odstavek 38. člena ZIntPK. Omenjene ugotovitve o posameznem primeru je senat komisije sprejel na 13. seji dne 25. 4. 2018. Ugotovitve so bile umeščene v obdobno poročilo o nasprotju interesov, prav tako pa je bil zoper omenjenega občinskega svetnika uveden </w:t>
      </w:r>
      <w:proofErr w:type="spellStart"/>
      <w:r w:rsidRPr="00BD46CA">
        <w:rPr>
          <w:rFonts w:ascii="Arial Narrow" w:hAnsi="Arial Narrow"/>
          <w:sz w:val="20"/>
          <w:szCs w:val="20"/>
        </w:rPr>
        <w:t>prekrškovni</w:t>
      </w:r>
      <w:proofErr w:type="spellEnd"/>
      <w:r w:rsidRPr="00BD46CA">
        <w:rPr>
          <w:rFonts w:ascii="Arial Narrow" w:hAnsi="Arial Narrow"/>
          <w:sz w:val="20"/>
          <w:szCs w:val="20"/>
        </w:rPr>
        <w:t xml:space="preserve"> postopek</w:t>
      </w:r>
      <w:r w:rsidR="00CE4E1D">
        <w:rPr>
          <w:rFonts w:ascii="Arial Narrow" w:hAnsi="Arial Narrow"/>
          <w:sz w:val="20"/>
          <w:szCs w:val="20"/>
        </w:rPr>
        <w:t>.</w:t>
      </w:r>
      <w:r w:rsidRPr="00BD46CA">
        <w:rPr>
          <w:rFonts w:ascii="Arial Narrow" w:hAnsi="Arial Narrow"/>
          <w:sz w:val="20"/>
          <w:szCs w:val="20"/>
        </w:rPr>
        <w:t xml:space="preserve"> </w:t>
      </w:r>
    </w:p>
    <w:p w:rsidR="00950741" w:rsidRPr="00BD46CA" w:rsidRDefault="00950741" w:rsidP="00950741">
      <w:pPr>
        <w:spacing w:line="276" w:lineRule="auto"/>
        <w:jc w:val="both"/>
        <w:rPr>
          <w:rFonts w:ascii="Arial Narrow" w:hAnsi="Arial Narrow"/>
          <w:color w:val="FF0000"/>
          <w:sz w:val="20"/>
          <w:szCs w:val="20"/>
        </w:rPr>
      </w:pPr>
    </w:p>
    <w:p w:rsidR="00950741" w:rsidRPr="00BD46CA" w:rsidRDefault="00950741" w:rsidP="00950741">
      <w:pPr>
        <w:spacing w:line="276" w:lineRule="auto"/>
        <w:jc w:val="both"/>
        <w:rPr>
          <w:rFonts w:ascii="Arial Narrow" w:hAnsi="Arial Narrow"/>
          <w:b/>
          <w:sz w:val="20"/>
          <w:szCs w:val="20"/>
        </w:rPr>
      </w:pPr>
      <w:r w:rsidRPr="00BD46CA">
        <w:rPr>
          <w:rFonts w:ascii="Arial Narrow" w:hAnsi="Arial Narrow"/>
          <w:b/>
          <w:sz w:val="20"/>
          <w:szCs w:val="20"/>
        </w:rPr>
        <w:t>PRIPOROČILA</w:t>
      </w:r>
      <w:r w:rsidR="00F44DDB">
        <w:rPr>
          <w:rFonts w:ascii="Arial Narrow" w:hAnsi="Arial Narrow"/>
          <w:b/>
          <w:sz w:val="20"/>
          <w:szCs w:val="20"/>
        </w:rPr>
        <w:t xml:space="preserve"> OBČINI RIBNICA</w:t>
      </w:r>
    </w:p>
    <w:p w:rsidR="00950741" w:rsidRPr="00BD46CA" w:rsidRDefault="00950741" w:rsidP="00950741">
      <w:pPr>
        <w:spacing w:line="276" w:lineRule="auto"/>
        <w:jc w:val="both"/>
        <w:rPr>
          <w:rFonts w:ascii="Arial Narrow" w:hAnsi="Arial Narrow"/>
          <w:color w:val="FF0000"/>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Občina Ribnica po oceni komisije precej zgledno in dosledno upošteva določbe ZIntPK ter pojasnila in mnenja, ki jih komisija na področju posameznih institutov sprejema in zastopa ter so bili predmet izvedenega tematskega nadzora.</w:t>
      </w:r>
    </w:p>
    <w:p w:rsidR="00950741" w:rsidRPr="00BD46CA" w:rsidRDefault="00950741" w:rsidP="00950741">
      <w:pPr>
        <w:spacing w:line="276" w:lineRule="auto"/>
        <w:jc w:val="both"/>
        <w:rPr>
          <w:rFonts w:ascii="Arial Narrow" w:hAnsi="Arial Narrow"/>
          <w:sz w:val="20"/>
          <w:szCs w:val="20"/>
        </w:rPr>
      </w:pPr>
    </w:p>
    <w:p w:rsidR="00950741" w:rsidRPr="00BD46CA" w:rsidRDefault="00950741" w:rsidP="00950741">
      <w:pPr>
        <w:spacing w:line="276" w:lineRule="auto"/>
        <w:jc w:val="both"/>
        <w:rPr>
          <w:rFonts w:ascii="Arial Narrow" w:hAnsi="Arial Narrow"/>
          <w:sz w:val="20"/>
          <w:szCs w:val="20"/>
        </w:rPr>
      </w:pPr>
      <w:r w:rsidRPr="00BD46CA">
        <w:rPr>
          <w:rFonts w:ascii="Arial Narrow" w:hAnsi="Arial Narrow"/>
          <w:sz w:val="20"/>
          <w:szCs w:val="20"/>
        </w:rPr>
        <w:t>Komisija pa kljub temu na podlagi zgoraj navedenih ugotovitev tematskega nadzora ter z namenom ustreznejšega upravljanja korupcijskih tveganj Občini Ribnica podaja sledeča priporočila:</w:t>
      </w:r>
    </w:p>
    <w:p w:rsidR="00950741" w:rsidRPr="00BD46CA" w:rsidRDefault="00950741" w:rsidP="00950741">
      <w:pPr>
        <w:numPr>
          <w:ilvl w:val="0"/>
          <w:numId w:val="2"/>
        </w:numPr>
        <w:spacing w:line="276" w:lineRule="auto"/>
        <w:jc w:val="both"/>
        <w:rPr>
          <w:rFonts w:ascii="Arial Narrow" w:hAnsi="Arial Narrow"/>
          <w:sz w:val="32"/>
          <w:szCs w:val="32"/>
        </w:rPr>
      </w:pPr>
      <w:r w:rsidRPr="00BD46CA">
        <w:rPr>
          <w:rFonts w:ascii="Arial Narrow" w:hAnsi="Arial Narrow"/>
          <w:sz w:val="20"/>
          <w:szCs w:val="20"/>
        </w:rPr>
        <w:t xml:space="preserve">komisija Občini Ribnica priporoča, da v letu 2019 za svojo in sosednje občine ter javne zavode v njihovi lasti organizira izvedbo usposabljanja javnih uslužbencev in funkcionarjev, ki </w:t>
      </w:r>
      <w:r w:rsidR="00FF0120">
        <w:rPr>
          <w:rFonts w:ascii="Arial Narrow" w:hAnsi="Arial Narrow"/>
          <w:sz w:val="20"/>
          <w:szCs w:val="20"/>
        </w:rPr>
        <w:t>so bili</w:t>
      </w:r>
      <w:bookmarkStart w:id="0" w:name="_GoBack"/>
      <w:bookmarkEnd w:id="0"/>
      <w:r w:rsidRPr="00BD46CA">
        <w:rPr>
          <w:rFonts w:ascii="Arial Narrow" w:hAnsi="Arial Narrow"/>
          <w:sz w:val="20"/>
          <w:szCs w:val="20"/>
        </w:rPr>
        <w:t xml:space="preserve"> 18. 11. 2018 izvoljeni na lokalnih volitvah, in sicer v izvedbi predstavnikov Komisije za preprečevanje korupcije;</w:t>
      </w:r>
    </w:p>
    <w:p w:rsidR="00950741" w:rsidRPr="00BD46CA" w:rsidRDefault="00950741" w:rsidP="00950741">
      <w:pPr>
        <w:numPr>
          <w:ilvl w:val="0"/>
          <w:numId w:val="2"/>
        </w:numPr>
        <w:spacing w:line="276" w:lineRule="auto"/>
        <w:jc w:val="both"/>
        <w:rPr>
          <w:rFonts w:ascii="Arial Narrow" w:hAnsi="Arial Narrow"/>
          <w:sz w:val="32"/>
          <w:szCs w:val="32"/>
        </w:rPr>
      </w:pPr>
      <w:r w:rsidRPr="00BD46CA">
        <w:rPr>
          <w:rFonts w:ascii="Arial Narrow" w:hAnsi="Arial Narrow"/>
          <w:sz w:val="20"/>
          <w:szCs w:val="20"/>
        </w:rPr>
        <w:t xml:space="preserve">komisija župana Občine Ribnica </w:t>
      </w:r>
      <w:r w:rsidR="00083C44">
        <w:rPr>
          <w:rFonts w:ascii="Arial Narrow" w:hAnsi="Arial Narrow"/>
          <w:sz w:val="20"/>
          <w:szCs w:val="20"/>
        </w:rPr>
        <w:t>ki je funkcijo opravljal v mandatu 2014 - 2018</w:t>
      </w:r>
      <w:r w:rsidRPr="00BD46CA">
        <w:rPr>
          <w:rFonts w:ascii="Arial Narrow" w:hAnsi="Arial Narrow"/>
          <w:sz w:val="20"/>
          <w:szCs w:val="20"/>
        </w:rPr>
        <w:t xml:space="preserve"> poziva k odpravi nepravilnosti na področju upoštevanja določb 27. člena ZIntPK, tj. članstva poklicnega župana kot predstavnika skupščine </w:t>
      </w:r>
      <w:r w:rsidR="00876441">
        <w:rPr>
          <w:rFonts w:ascii="Arial Narrow" w:hAnsi="Arial Narrow"/>
          <w:sz w:val="20"/>
          <w:szCs w:val="20"/>
        </w:rPr>
        <w:t xml:space="preserve">v </w:t>
      </w:r>
      <w:r w:rsidRPr="00BD46CA">
        <w:rPr>
          <w:rFonts w:ascii="Arial Narrow" w:hAnsi="Arial Narrow"/>
          <w:sz w:val="20"/>
          <w:szCs w:val="20"/>
        </w:rPr>
        <w:t>primeru dveh subjektov, in sicer IP Rib</w:t>
      </w:r>
      <w:r>
        <w:rPr>
          <w:rFonts w:ascii="Arial Narrow" w:hAnsi="Arial Narrow"/>
          <w:sz w:val="20"/>
          <w:szCs w:val="20"/>
        </w:rPr>
        <w:t xml:space="preserve">nica d.o.o. ter </w:t>
      </w:r>
      <w:proofErr w:type="spellStart"/>
      <w:r>
        <w:rPr>
          <w:rFonts w:ascii="Arial Narrow" w:hAnsi="Arial Narrow"/>
          <w:sz w:val="20"/>
          <w:szCs w:val="20"/>
        </w:rPr>
        <w:t>Hydrovod</w:t>
      </w:r>
      <w:proofErr w:type="spellEnd"/>
      <w:r>
        <w:rPr>
          <w:rFonts w:ascii="Arial Narrow" w:hAnsi="Arial Narrow"/>
          <w:sz w:val="20"/>
          <w:szCs w:val="20"/>
        </w:rPr>
        <w:t xml:space="preserve"> d.o.o. Župan je lahko član skupščine edino v primerih, ko slednja izvaja zgolj ustanoviteljske pravice. Nadzorna skupina je ugotovila, da akt, s katerim bi bil župan imenovan v skupščino navedenih pravnih oseb</w:t>
      </w:r>
      <w:r w:rsidR="00876441">
        <w:rPr>
          <w:rFonts w:ascii="Arial Narrow" w:hAnsi="Arial Narrow"/>
          <w:sz w:val="20"/>
          <w:szCs w:val="20"/>
        </w:rPr>
        <w:t>, ne obstaja</w:t>
      </w:r>
      <w:r>
        <w:rPr>
          <w:rFonts w:ascii="Arial Narrow" w:hAnsi="Arial Narrow"/>
          <w:sz w:val="20"/>
          <w:szCs w:val="20"/>
        </w:rPr>
        <w:t xml:space="preserve">. Komisija je v svoji </w:t>
      </w:r>
      <w:proofErr w:type="spellStart"/>
      <w:r>
        <w:rPr>
          <w:rFonts w:ascii="Arial Narrow" w:hAnsi="Arial Narrow"/>
          <w:sz w:val="20"/>
          <w:szCs w:val="20"/>
        </w:rPr>
        <w:t>nezavezujoči</w:t>
      </w:r>
      <w:proofErr w:type="spellEnd"/>
      <w:r>
        <w:rPr>
          <w:rFonts w:ascii="Arial Narrow" w:hAnsi="Arial Narrow"/>
          <w:sz w:val="20"/>
          <w:szCs w:val="20"/>
        </w:rPr>
        <w:t xml:space="preserve"> razlagi določb ZIntPK zapisala, da tega, kdo imenuje predstavnika ustanovitelja v skupščino družbe ZIntPK</w:t>
      </w:r>
      <w:r w:rsidR="00876441">
        <w:rPr>
          <w:rFonts w:ascii="Arial Narrow" w:hAnsi="Arial Narrow"/>
          <w:sz w:val="20"/>
          <w:szCs w:val="20"/>
        </w:rPr>
        <w:t>,</w:t>
      </w:r>
      <w:r>
        <w:rPr>
          <w:rFonts w:ascii="Arial Narrow" w:hAnsi="Arial Narrow"/>
          <w:sz w:val="20"/>
          <w:szCs w:val="20"/>
        </w:rPr>
        <w:t xml:space="preserve"> ne ureja. Prvi odstavek 73. člena Zakona o javnih financah (Uradni list RS, št. 11/2011</w:t>
      </w:r>
      <w:r w:rsidR="00876441">
        <w:rPr>
          <w:rFonts w:ascii="Arial Narrow" w:hAnsi="Arial Narrow"/>
          <w:sz w:val="20"/>
          <w:szCs w:val="20"/>
        </w:rPr>
        <w:t xml:space="preserve"> </w:t>
      </w:r>
      <w:r>
        <w:rPr>
          <w:rFonts w:ascii="Arial Narrow" w:hAnsi="Arial Narrow"/>
          <w:sz w:val="20"/>
          <w:szCs w:val="20"/>
        </w:rPr>
        <w:t xml:space="preserve">- UPB s spremembami, dalje ZJF) določa, da o ustanavljanju in ukinjanju pravnih oseb, katerih ustanovitelj ali soustanovitelj je občina, odloča občinski svet, če ni s področnim zakonom ali zakonom o lokalni samoupravi določeno drugače. </w:t>
      </w:r>
      <w:r w:rsidRPr="00BD46CA">
        <w:rPr>
          <w:rFonts w:ascii="Arial Narrow" w:hAnsi="Arial Narrow"/>
          <w:sz w:val="20"/>
          <w:szCs w:val="20"/>
        </w:rPr>
        <w:t xml:space="preserve">Glede na določbe </w:t>
      </w:r>
      <w:r w:rsidR="00876441">
        <w:rPr>
          <w:rFonts w:ascii="Arial Narrow" w:hAnsi="Arial Narrow"/>
          <w:sz w:val="20"/>
          <w:szCs w:val="20"/>
        </w:rPr>
        <w:t>prvega</w:t>
      </w:r>
      <w:r w:rsidRPr="00BD46CA">
        <w:rPr>
          <w:rFonts w:ascii="Arial Narrow" w:hAnsi="Arial Narrow"/>
          <w:sz w:val="20"/>
          <w:szCs w:val="20"/>
        </w:rPr>
        <w:t xml:space="preserve"> odstavka 27. člena ZIntPK, da poklicni župan ne sme zastopati gospodarske družbe oziroma biti član organa upravljanja ali nadzora v gospodarski družbi, bo župan Občine Ribnica moral navedeno nepravilnost odpraviti;</w:t>
      </w:r>
    </w:p>
    <w:p w:rsidR="00950741" w:rsidRPr="00BD46CA" w:rsidRDefault="00950741" w:rsidP="00950741">
      <w:pPr>
        <w:numPr>
          <w:ilvl w:val="0"/>
          <w:numId w:val="2"/>
        </w:numPr>
        <w:spacing w:line="276" w:lineRule="auto"/>
        <w:jc w:val="both"/>
        <w:rPr>
          <w:rFonts w:ascii="Arial Narrow" w:hAnsi="Arial Narrow"/>
          <w:sz w:val="32"/>
          <w:szCs w:val="32"/>
        </w:rPr>
      </w:pPr>
      <w:r w:rsidRPr="00BD46CA">
        <w:rPr>
          <w:rFonts w:ascii="Arial Narrow" w:hAnsi="Arial Narrow"/>
          <w:sz w:val="20"/>
          <w:szCs w:val="20"/>
        </w:rPr>
        <w:t>komisija Občino Ribnica poziva k vsakoletnemu pravočasnemu poročanju seznama prejetih daril funkcionarjev občine ter občine kot subjekta;</w:t>
      </w:r>
    </w:p>
    <w:p w:rsidR="00950741" w:rsidRPr="00BD46CA" w:rsidRDefault="00950741" w:rsidP="00950741">
      <w:pPr>
        <w:numPr>
          <w:ilvl w:val="0"/>
          <w:numId w:val="2"/>
        </w:numPr>
        <w:spacing w:line="276" w:lineRule="auto"/>
        <w:jc w:val="both"/>
        <w:rPr>
          <w:rFonts w:ascii="Arial Narrow" w:hAnsi="Arial Narrow"/>
          <w:sz w:val="32"/>
          <w:szCs w:val="32"/>
        </w:rPr>
      </w:pPr>
      <w:r w:rsidRPr="00BD46CA">
        <w:rPr>
          <w:rFonts w:ascii="Arial Narrow" w:hAnsi="Arial Narrow"/>
          <w:sz w:val="20"/>
          <w:szCs w:val="20"/>
        </w:rPr>
        <w:t>komisija Občini Ribnica priporoča, da za področje posredovanja seznama daril komisiji imenuje dve odgovorni osebi;</w:t>
      </w:r>
    </w:p>
    <w:p w:rsidR="00950741" w:rsidRPr="00BD46CA" w:rsidRDefault="00950741" w:rsidP="00950741">
      <w:pPr>
        <w:numPr>
          <w:ilvl w:val="0"/>
          <w:numId w:val="2"/>
        </w:numPr>
        <w:spacing w:line="276" w:lineRule="auto"/>
        <w:jc w:val="both"/>
        <w:rPr>
          <w:rFonts w:ascii="Arial Narrow" w:hAnsi="Arial Narrow"/>
          <w:sz w:val="32"/>
          <w:szCs w:val="32"/>
        </w:rPr>
      </w:pPr>
      <w:r w:rsidRPr="00BD46CA">
        <w:rPr>
          <w:rFonts w:ascii="Arial Narrow" w:hAnsi="Arial Narrow"/>
          <w:sz w:val="20"/>
          <w:szCs w:val="20"/>
        </w:rPr>
        <w:t xml:space="preserve">komisija glede na zaznane nepravilnosti in prakso pri upravljanju korupcijskega tveganja nastanka nasprotja interesov Občini Ribnici priporoča izvedbo dodatnega osveščanja funkcionarjev, vključno s poslovodnimi osebami javnih zavodov </w:t>
      </w:r>
      <w:r w:rsidR="00876441">
        <w:rPr>
          <w:rFonts w:ascii="Arial Narrow" w:hAnsi="Arial Narrow"/>
          <w:sz w:val="20"/>
          <w:szCs w:val="20"/>
        </w:rPr>
        <w:t>ter</w:t>
      </w:r>
      <w:r w:rsidRPr="00BD46CA">
        <w:rPr>
          <w:rFonts w:ascii="Arial Narrow" w:hAnsi="Arial Narrow"/>
          <w:sz w:val="20"/>
          <w:szCs w:val="20"/>
        </w:rPr>
        <w:t xml:space="preserve"> člani organov upravljanja in nadzora, in občinske uprave, zlasti uslužbencev, ki nudijo strokovno pomoč posameznim organom oziroma komisijam občine oziroma občinskega sveta; </w:t>
      </w:r>
    </w:p>
    <w:p w:rsidR="00950741" w:rsidRPr="00BD46CA" w:rsidRDefault="00950741" w:rsidP="00950741">
      <w:pPr>
        <w:numPr>
          <w:ilvl w:val="0"/>
          <w:numId w:val="2"/>
        </w:numPr>
        <w:spacing w:line="276" w:lineRule="auto"/>
        <w:jc w:val="both"/>
        <w:rPr>
          <w:rFonts w:ascii="Arial Narrow" w:hAnsi="Arial Narrow"/>
          <w:sz w:val="32"/>
          <w:szCs w:val="32"/>
        </w:rPr>
      </w:pPr>
      <w:r w:rsidRPr="00BD46CA">
        <w:rPr>
          <w:rFonts w:ascii="Arial Narrow" w:hAnsi="Arial Narrow"/>
          <w:sz w:val="20"/>
          <w:szCs w:val="20"/>
        </w:rPr>
        <w:t>komisija glede na zaznane nepravilnosti in prakso pri upravljanju korupcijskega tveganja nastanka omejitev poslovanja Občini Ribnici priporoča izvedbo dodatnega osveščanja funkcionarjev glede ažurnega zakonsko zahtevanega poročanja občini glede subjektov, s katerimi so povezani na način, ki ga določa 35. člen ZIntPK ter ažurno poročanje seznama subjektov</w:t>
      </w:r>
      <w:r w:rsidR="00876441">
        <w:rPr>
          <w:rFonts w:ascii="Arial Narrow" w:hAnsi="Arial Narrow"/>
          <w:sz w:val="20"/>
          <w:szCs w:val="20"/>
        </w:rPr>
        <w:t>,</w:t>
      </w:r>
      <w:r w:rsidRPr="00BD46CA">
        <w:rPr>
          <w:rFonts w:ascii="Arial Narrow" w:hAnsi="Arial Narrow"/>
          <w:sz w:val="20"/>
          <w:szCs w:val="20"/>
        </w:rPr>
        <w:t xml:space="preserve"> </w:t>
      </w:r>
      <w:r w:rsidR="00876441">
        <w:rPr>
          <w:rFonts w:ascii="Arial Narrow" w:hAnsi="Arial Narrow"/>
          <w:sz w:val="20"/>
          <w:szCs w:val="20"/>
        </w:rPr>
        <w:t>za katere</w:t>
      </w:r>
      <w:r w:rsidRPr="00BD46CA">
        <w:rPr>
          <w:rFonts w:ascii="Arial Narrow" w:hAnsi="Arial Narrow"/>
          <w:sz w:val="20"/>
          <w:szCs w:val="20"/>
        </w:rPr>
        <w:t xml:space="preserve"> veljajo omejitve poslovanja s strani Občine Ribnica komisiji.  </w:t>
      </w:r>
    </w:p>
    <w:p w:rsidR="00950741" w:rsidRPr="00BD46CA" w:rsidRDefault="00950741" w:rsidP="00950741">
      <w:pPr>
        <w:spacing w:line="276" w:lineRule="auto"/>
        <w:jc w:val="both"/>
        <w:rPr>
          <w:rFonts w:ascii="Arial Narrow" w:hAnsi="Arial Narrow"/>
          <w:sz w:val="20"/>
          <w:szCs w:val="20"/>
        </w:rPr>
      </w:pPr>
    </w:p>
    <w:p w:rsidR="00950741" w:rsidRPr="00BD46CA" w:rsidRDefault="00950741" w:rsidP="00950741">
      <w:pPr>
        <w:spacing w:line="276" w:lineRule="auto"/>
        <w:jc w:val="center"/>
        <w:rPr>
          <w:rFonts w:ascii="Arial Narrow" w:hAnsi="Arial Narrow"/>
          <w:sz w:val="20"/>
          <w:szCs w:val="20"/>
        </w:rPr>
      </w:pPr>
    </w:p>
    <w:p w:rsidR="00950741" w:rsidRPr="00BD46CA" w:rsidRDefault="00950741" w:rsidP="00950741">
      <w:pPr>
        <w:autoSpaceDE w:val="0"/>
        <w:autoSpaceDN w:val="0"/>
        <w:adjustRightInd w:val="0"/>
        <w:jc w:val="both"/>
        <w:rPr>
          <w:rFonts w:ascii="Arial Narrow" w:eastAsia="SimSun" w:hAnsi="Arial Narrow" w:cs="Arial"/>
          <w:color w:val="000000"/>
          <w:sz w:val="20"/>
          <w:szCs w:val="20"/>
        </w:rPr>
      </w:pPr>
    </w:p>
    <w:tbl>
      <w:tblPr>
        <w:tblpPr w:leftFromText="141" w:rightFromText="141" w:vertAnchor="text" w:horzAnchor="margin" w:tblpXSpec="right" w:tblpYSpec="center"/>
        <w:tblW w:w="0" w:type="auto"/>
        <w:tblLook w:val="04A0" w:firstRow="1" w:lastRow="0" w:firstColumn="1" w:lastColumn="0" w:noHBand="0" w:noVBand="1"/>
      </w:tblPr>
      <w:tblGrid>
        <w:gridCol w:w="4358"/>
      </w:tblGrid>
      <w:tr w:rsidR="00950741" w:rsidRPr="008A412F" w:rsidTr="00DF5B8A">
        <w:tc>
          <w:tcPr>
            <w:tcW w:w="4358" w:type="dxa"/>
          </w:tcPr>
          <w:p w:rsidR="00950741" w:rsidRPr="00BD46CA" w:rsidRDefault="00950741" w:rsidP="00DF5B8A">
            <w:pPr>
              <w:jc w:val="center"/>
              <w:rPr>
                <w:rFonts w:ascii="Arial Narrow" w:hAnsi="Arial Narrow" w:cs="Arial"/>
                <w:b/>
                <w:sz w:val="20"/>
                <w:szCs w:val="20"/>
              </w:rPr>
            </w:pPr>
          </w:p>
          <w:p w:rsidR="00950741" w:rsidRPr="008A412F" w:rsidRDefault="00950741" w:rsidP="00DF5B8A">
            <w:pPr>
              <w:jc w:val="center"/>
              <w:rPr>
                <w:rFonts w:ascii="Arial Narrow" w:hAnsi="Arial Narrow" w:cs="Arial"/>
                <w:sz w:val="20"/>
                <w:szCs w:val="20"/>
              </w:rPr>
            </w:pPr>
            <w:r w:rsidRPr="00BD46CA">
              <w:rPr>
                <w:rFonts w:ascii="Arial Narrow" w:hAnsi="Arial Narrow" w:cs="Arial"/>
                <w:sz w:val="20"/>
                <w:szCs w:val="20"/>
              </w:rPr>
              <w:t>Boris Štefanec</w:t>
            </w:r>
            <w:r w:rsidRPr="00BD46CA">
              <w:rPr>
                <w:rFonts w:ascii="Arial Narrow" w:hAnsi="Arial Narrow" w:cs="Arial"/>
                <w:sz w:val="20"/>
                <w:szCs w:val="20"/>
              </w:rPr>
              <w:br/>
              <w:t>PREDSEDNIK</w:t>
            </w:r>
          </w:p>
        </w:tc>
      </w:tr>
    </w:tbl>
    <w:p w:rsidR="00950741" w:rsidRDefault="00950741" w:rsidP="00950741">
      <w:pPr>
        <w:spacing w:line="276" w:lineRule="auto"/>
        <w:jc w:val="both"/>
        <w:rPr>
          <w:rFonts w:ascii="Arial Narrow" w:hAnsi="Arial Narrow"/>
          <w:sz w:val="20"/>
          <w:szCs w:val="20"/>
        </w:rPr>
      </w:pPr>
    </w:p>
    <w:p w:rsidR="00950741" w:rsidRDefault="00950741" w:rsidP="00950741">
      <w:pPr>
        <w:spacing w:line="276" w:lineRule="auto"/>
        <w:jc w:val="both"/>
        <w:rPr>
          <w:rFonts w:ascii="Arial Narrow" w:hAnsi="Arial Narrow"/>
          <w:sz w:val="20"/>
          <w:szCs w:val="20"/>
        </w:rPr>
      </w:pPr>
    </w:p>
    <w:p w:rsidR="00950741" w:rsidRPr="00240F22" w:rsidRDefault="00950741" w:rsidP="00950741">
      <w:pPr>
        <w:spacing w:line="276" w:lineRule="auto"/>
        <w:jc w:val="both"/>
        <w:rPr>
          <w:rFonts w:ascii="Arial Narrow" w:hAnsi="Arial Narrow"/>
          <w:sz w:val="20"/>
          <w:szCs w:val="20"/>
        </w:rPr>
      </w:pPr>
      <w:r w:rsidRPr="00240F22">
        <w:rPr>
          <w:rFonts w:ascii="Arial Narrow" w:hAnsi="Arial Narrow"/>
          <w:sz w:val="20"/>
          <w:szCs w:val="20"/>
        </w:rPr>
        <w:t xml:space="preserve"> </w:t>
      </w:r>
    </w:p>
    <w:p w:rsidR="00057907" w:rsidRPr="0008155D" w:rsidRDefault="0008155D">
      <w:pPr>
        <w:rPr>
          <w:rFonts w:ascii="Arial Narrow" w:hAnsi="Arial Narrow"/>
          <w:sz w:val="20"/>
          <w:szCs w:val="20"/>
        </w:rPr>
      </w:pPr>
      <w:r w:rsidRPr="0008155D">
        <w:rPr>
          <w:rFonts w:ascii="Arial Narrow" w:hAnsi="Arial Narrow"/>
          <w:sz w:val="20"/>
          <w:szCs w:val="20"/>
        </w:rPr>
        <w:t>Vložiti:</w:t>
      </w:r>
    </w:p>
    <w:p w:rsidR="0008155D" w:rsidRPr="0008155D" w:rsidRDefault="0008155D" w:rsidP="0008155D">
      <w:pPr>
        <w:pStyle w:val="Odstavekseznama"/>
        <w:numPr>
          <w:ilvl w:val="0"/>
          <w:numId w:val="2"/>
        </w:numPr>
        <w:rPr>
          <w:rFonts w:ascii="Arial Narrow" w:hAnsi="Arial Narrow"/>
          <w:sz w:val="20"/>
          <w:szCs w:val="20"/>
        </w:rPr>
      </w:pPr>
      <w:r w:rsidRPr="0008155D">
        <w:rPr>
          <w:rFonts w:ascii="Arial Narrow" w:hAnsi="Arial Narrow"/>
          <w:sz w:val="20"/>
          <w:szCs w:val="20"/>
        </w:rPr>
        <w:t>arhiv</w:t>
      </w:r>
    </w:p>
    <w:sectPr w:rsidR="0008155D" w:rsidRPr="0008155D" w:rsidSect="006E664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AA7" w:rsidRDefault="005A7AA7" w:rsidP="00950741">
      <w:r>
        <w:separator/>
      </w:r>
    </w:p>
  </w:endnote>
  <w:endnote w:type="continuationSeparator" w:id="0">
    <w:p w:rsidR="005A7AA7" w:rsidRDefault="005A7AA7" w:rsidP="0095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Heiti SC Light">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AF" w:rsidRPr="00CC4ED2" w:rsidRDefault="00E24C0F">
    <w:pPr>
      <w:pStyle w:val="Noga"/>
      <w:jc w:val="right"/>
      <w:rPr>
        <w:rFonts w:ascii="Arial Narrow" w:hAnsi="Arial Narrow"/>
      </w:rPr>
    </w:pPr>
    <w:r w:rsidRPr="00CC4ED2">
      <w:rPr>
        <w:rFonts w:ascii="Arial Narrow" w:hAnsi="Arial Narrow"/>
      </w:rPr>
      <w:fldChar w:fldCharType="begin"/>
    </w:r>
    <w:r w:rsidRPr="00CC4ED2">
      <w:rPr>
        <w:rFonts w:ascii="Arial Narrow" w:hAnsi="Arial Narrow"/>
      </w:rPr>
      <w:instrText xml:space="preserve"> PAGE   \* MERGEFORMAT </w:instrText>
    </w:r>
    <w:r w:rsidRPr="00CC4ED2">
      <w:rPr>
        <w:rFonts w:ascii="Arial Narrow" w:hAnsi="Arial Narrow"/>
      </w:rPr>
      <w:fldChar w:fldCharType="separate"/>
    </w:r>
    <w:r w:rsidR="00FF0120">
      <w:rPr>
        <w:rFonts w:ascii="Arial Narrow" w:hAnsi="Arial Narrow"/>
        <w:noProof/>
      </w:rPr>
      <w:t>5</w:t>
    </w:r>
    <w:r w:rsidRPr="00CC4ED2">
      <w:rPr>
        <w:rFonts w:ascii="Arial Narrow" w:hAnsi="Arial Narrow"/>
      </w:rPr>
      <w:fldChar w:fldCharType="end"/>
    </w:r>
  </w:p>
  <w:p w:rsidR="00C417AF" w:rsidRDefault="005A7AA7">
    <w:pPr>
      <w:pStyle w:val="Noga"/>
    </w:pPr>
  </w:p>
  <w:p w:rsidR="00C417AF" w:rsidRDefault="005A7A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AA7" w:rsidRDefault="005A7AA7" w:rsidP="00950741">
      <w:r>
        <w:separator/>
      </w:r>
    </w:p>
  </w:footnote>
  <w:footnote w:type="continuationSeparator" w:id="0">
    <w:p w:rsidR="005A7AA7" w:rsidRDefault="005A7AA7" w:rsidP="00950741">
      <w:r>
        <w:continuationSeparator/>
      </w:r>
    </w:p>
  </w:footnote>
  <w:footnote w:id="1">
    <w:p w:rsidR="00950741" w:rsidRPr="0036034B" w:rsidRDefault="00950741" w:rsidP="00950741">
      <w:pPr>
        <w:pStyle w:val="Sprotnaopomba-besedilo"/>
        <w:rPr>
          <w:sz w:val="18"/>
          <w:szCs w:val="18"/>
        </w:rPr>
      </w:pPr>
      <w:r>
        <w:rPr>
          <w:rStyle w:val="Sprotnaopomba-sklic"/>
        </w:rPr>
        <w:footnoteRef/>
      </w:r>
      <w:r>
        <w:t xml:space="preserve"> </w:t>
      </w:r>
      <w:r w:rsidRPr="0036034B">
        <w:rPr>
          <w:rFonts w:ascii="Arial Narrow" w:hAnsi="Arial Narrow"/>
          <w:sz w:val="18"/>
          <w:szCs w:val="18"/>
        </w:rPr>
        <w:t>Postopek komisija vodi pod spisovno številko 06212-3/2018.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7AF" w:rsidRPr="00B33506" w:rsidRDefault="005A7AA7" w:rsidP="00B33506">
    <w:pPr>
      <w:pStyle w:val="Glava"/>
      <w:jc w:val="right"/>
      <w:rPr>
        <w:rFonts w:ascii="Calibri" w:hAnsi="Calibri"/>
        <w:b/>
      </w:rPr>
    </w:pPr>
  </w:p>
  <w:p w:rsidR="00C417AF" w:rsidRDefault="005A7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1D3"/>
    <w:multiLevelType w:val="hybridMultilevel"/>
    <w:tmpl w:val="709C8B1E"/>
    <w:lvl w:ilvl="0" w:tplc="BC56C4DA">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7A328AA"/>
    <w:multiLevelType w:val="hybridMultilevel"/>
    <w:tmpl w:val="CFEE99EE"/>
    <w:lvl w:ilvl="0" w:tplc="C5049E76">
      <w:start w:val="1"/>
      <w:numFmt w:val="bullet"/>
      <w:pStyle w:val="PojasniloList"/>
      <w:lvlText w:val="-"/>
      <w:lvlJc w:val="left"/>
      <w:pPr>
        <w:tabs>
          <w:tab w:val="num" w:pos="340"/>
        </w:tabs>
        <w:ind w:left="340" w:hanging="34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51A30"/>
    <w:multiLevelType w:val="hybridMultilevel"/>
    <w:tmpl w:val="975E7F84"/>
    <w:lvl w:ilvl="0" w:tplc="E762442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41"/>
    <w:rsid w:val="000550FC"/>
    <w:rsid w:val="00057907"/>
    <w:rsid w:val="0008155D"/>
    <w:rsid w:val="00083C44"/>
    <w:rsid w:val="00120548"/>
    <w:rsid w:val="0019484B"/>
    <w:rsid w:val="001A3824"/>
    <w:rsid w:val="001D2037"/>
    <w:rsid w:val="00215748"/>
    <w:rsid w:val="00215E27"/>
    <w:rsid w:val="002644C0"/>
    <w:rsid w:val="003D2BD1"/>
    <w:rsid w:val="00456EED"/>
    <w:rsid w:val="00477009"/>
    <w:rsid w:val="005A2535"/>
    <w:rsid w:val="005A7AA7"/>
    <w:rsid w:val="00876441"/>
    <w:rsid w:val="008E342A"/>
    <w:rsid w:val="00941024"/>
    <w:rsid w:val="00950741"/>
    <w:rsid w:val="00A3447B"/>
    <w:rsid w:val="00A4543E"/>
    <w:rsid w:val="00A7750F"/>
    <w:rsid w:val="00A95045"/>
    <w:rsid w:val="00C06BB1"/>
    <w:rsid w:val="00CE4E1D"/>
    <w:rsid w:val="00CF1CB9"/>
    <w:rsid w:val="00D354AE"/>
    <w:rsid w:val="00E24C0F"/>
    <w:rsid w:val="00E26043"/>
    <w:rsid w:val="00F44DDB"/>
    <w:rsid w:val="00FF01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50741"/>
    <w:pPr>
      <w:spacing w:after="0" w:line="240" w:lineRule="auto"/>
    </w:pPr>
    <w:rPr>
      <w:rFonts w:ascii="Times New Roman" w:eastAsia="Calibri"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50741"/>
    <w:pPr>
      <w:tabs>
        <w:tab w:val="center" w:pos="4536"/>
        <w:tab w:val="right" w:pos="9072"/>
      </w:tabs>
    </w:pPr>
  </w:style>
  <w:style w:type="character" w:customStyle="1" w:styleId="GlavaZnak">
    <w:name w:val="Glava Znak"/>
    <w:basedOn w:val="Privzetapisavaodstavka"/>
    <w:link w:val="Glava"/>
    <w:uiPriority w:val="99"/>
    <w:rsid w:val="00950741"/>
    <w:rPr>
      <w:rFonts w:ascii="Times New Roman" w:eastAsia="Calibri" w:hAnsi="Times New Roman" w:cs="Times New Roman"/>
      <w:sz w:val="24"/>
      <w:szCs w:val="24"/>
      <w:lang w:eastAsia="zh-CN"/>
    </w:rPr>
  </w:style>
  <w:style w:type="paragraph" w:styleId="Noga">
    <w:name w:val="footer"/>
    <w:basedOn w:val="Navaden"/>
    <w:link w:val="NogaZnak"/>
    <w:uiPriority w:val="99"/>
    <w:unhideWhenUsed/>
    <w:rsid w:val="00950741"/>
    <w:pPr>
      <w:tabs>
        <w:tab w:val="center" w:pos="4536"/>
        <w:tab w:val="right" w:pos="9072"/>
      </w:tabs>
    </w:pPr>
  </w:style>
  <w:style w:type="character" w:customStyle="1" w:styleId="NogaZnak">
    <w:name w:val="Noga Znak"/>
    <w:basedOn w:val="Privzetapisavaodstavka"/>
    <w:link w:val="Noga"/>
    <w:uiPriority w:val="99"/>
    <w:rsid w:val="00950741"/>
    <w:rPr>
      <w:rFonts w:ascii="Times New Roman" w:eastAsia="Calibri" w:hAnsi="Times New Roman" w:cs="Times New Roman"/>
      <w:sz w:val="24"/>
      <w:szCs w:val="24"/>
      <w:lang w:eastAsia="zh-CN"/>
    </w:rPr>
  </w:style>
  <w:style w:type="character" w:styleId="Krepko">
    <w:name w:val="Strong"/>
    <w:uiPriority w:val="22"/>
    <w:qFormat/>
    <w:rsid w:val="00950741"/>
    <w:rPr>
      <w:b/>
      <w:bCs/>
    </w:rPr>
  </w:style>
  <w:style w:type="paragraph" w:styleId="Sprotnaopomba-besedilo">
    <w:name w:val="footnote text"/>
    <w:basedOn w:val="Navaden"/>
    <w:link w:val="Sprotnaopomba-besediloZnak"/>
    <w:uiPriority w:val="99"/>
    <w:unhideWhenUsed/>
    <w:rsid w:val="00950741"/>
    <w:rPr>
      <w:rFonts w:ascii="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950741"/>
    <w:rPr>
      <w:rFonts w:ascii="Calibri" w:eastAsia="Calibri" w:hAnsi="Calibri" w:cs="Times New Roman"/>
      <w:sz w:val="20"/>
      <w:szCs w:val="20"/>
    </w:rPr>
  </w:style>
  <w:style w:type="character" w:styleId="Sprotnaopomba-sklic">
    <w:name w:val="footnote reference"/>
    <w:uiPriority w:val="99"/>
    <w:unhideWhenUsed/>
    <w:rsid w:val="00950741"/>
    <w:rPr>
      <w:vertAlign w:val="superscript"/>
    </w:rPr>
  </w:style>
  <w:style w:type="paragraph" w:customStyle="1" w:styleId="PojasniloBodyText">
    <w:name w:val="Pojasnilo Body Text"/>
    <w:basedOn w:val="Navaden"/>
    <w:autoRedefine/>
    <w:rsid w:val="00950741"/>
    <w:pPr>
      <w:spacing w:line="276" w:lineRule="auto"/>
      <w:jc w:val="both"/>
    </w:pPr>
    <w:rPr>
      <w:rFonts w:ascii="Arial Narrow" w:hAnsi="Arial Narrow"/>
      <w:lang w:eastAsia="en-US"/>
    </w:rPr>
  </w:style>
  <w:style w:type="paragraph" w:customStyle="1" w:styleId="PojasniloList">
    <w:name w:val="Pojasnilo List"/>
    <w:basedOn w:val="Odstavekseznama"/>
    <w:rsid w:val="00950741"/>
    <w:pPr>
      <w:numPr>
        <w:numId w:val="1"/>
      </w:numPr>
      <w:tabs>
        <w:tab w:val="clear" w:pos="340"/>
        <w:tab w:val="num" w:pos="360"/>
      </w:tabs>
      <w:suppressAutoHyphens/>
      <w:spacing w:after="120" w:line="264" w:lineRule="auto"/>
      <w:ind w:left="720" w:firstLine="0"/>
      <w:jc w:val="both"/>
    </w:pPr>
    <w:rPr>
      <w:rFonts w:ascii="Calibri" w:eastAsia="ヒラギノ角ゴ Pro W3" w:hAnsi="Calibri" w:cs="Arial"/>
      <w:sz w:val="22"/>
      <w:lang w:val="en-US" w:eastAsia="ar-SA"/>
    </w:rPr>
  </w:style>
  <w:style w:type="paragraph" w:customStyle="1" w:styleId="BodyKPK">
    <w:name w:val="Body KPK"/>
    <w:rsid w:val="00950741"/>
    <w:pPr>
      <w:suppressAutoHyphens/>
      <w:spacing w:after="180" w:line="312" w:lineRule="auto"/>
    </w:pPr>
    <w:rPr>
      <w:rFonts w:ascii="Heiti SC Light" w:eastAsia="ヒラギノ角ゴ Pro W3" w:hAnsi="Heiti SC Light" w:cs="Times New Roman"/>
      <w:color w:val="000000"/>
      <w:sz w:val="18"/>
      <w:szCs w:val="20"/>
      <w:lang w:val="en-US" w:eastAsia="sl-SI"/>
    </w:rPr>
  </w:style>
  <w:style w:type="paragraph" w:styleId="Odstavekseznama">
    <w:name w:val="List Paragraph"/>
    <w:basedOn w:val="Navaden"/>
    <w:uiPriority w:val="34"/>
    <w:qFormat/>
    <w:rsid w:val="00950741"/>
    <w:pPr>
      <w:ind w:left="720"/>
      <w:contextualSpacing/>
    </w:pPr>
  </w:style>
  <w:style w:type="character" w:styleId="Pripombasklic">
    <w:name w:val="annotation reference"/>
    <w:basedOn w:val="Privzetapisavaodstavka"/>
    <w:uiPriority w:val="99"/>
    <w:semiHidden/>
    <w:unhideWhenUsed/>
    <w:rsid w:val="008E342A"/>
    <w:rPr>
      <w:sz w:val="16"/>
      <w:szCs w:val="16"/>
    </w:rPr>
  </w:style>
  <w:style w:type="paragraph" w:styleId="Pripombabesedilo">
    <w:name w:val="annotation text"/>
    <w:basedOn w:val="Navaden"/>
    <w:link w:val="PripombabesediloZnak"/>
    <w:uiPriority w:val="99"/>
    <w:semiHidden/>
    <w:unhideWhenUsed/>
    <w:rsid w:val="008E342A"/>
    <w:rPr>
      <w:sz w:val="20"/>
      <w:szCs w:val="20"/>
    </w:rPr>
  </w:style>
  <w:style w:type="character" w:customStyle="1" w:styleId="PripombabesediloZnak">
    <w:name w:val="Pripomba – besedilo Znak"/>
    <w:basedOn w:val="Privzetapisavaodstavka"/>
    <w:link w:val="Pripombabesedilo"/>
    <w:uiPriority w:val="99"/>
    <w:semiHidden/>
    <w:rsid w:val="008E342A"/>
    <w:rPr>
      <w:rFonts w:ascii="Times New Roman" w:eastAsia="Calibri" w:hAnsi="Times New Roman" w:cs="Times New Roman"/>
      <w:sz w:val="20"/>
      <w:szCs w:val="20"/>
      <w:lang w:eastAsia="zh-CN"/>
    </w:rPr>
  </w:style>
  <w:style w:type="paragraph" w:styleId="Zadevapripombe">
    <w:name w:val="annotation subject"/>
    <w:basedOn w:val="Pripombabesedilo"/>
    <w:next w:val="Pripombabesedilo"/>
    <w:link w:val="ZadevapripombeZnak"/>
    <w:uiPriority w:val="99"/>
    <w:semiHidden/>
    <w:unhideWhenUsed/>
    <w:rsid w:val="008E342A"/>
    <w:rPr>
      <w:b/>
      <w:bCs/>
    </w:rPr>
  </w:style>
  <w:style w:type="character" w:customStyle="1" w:styleId="ZadevapripombeZnak">
    <w:name w:val="Zadeva pripombe Znak"/>
    <w:basedOn w:val="PripombabesediloZnak"/>
    <w:link w:val="Zadevapripombe"/>
    <w:uiPriority w:val="99"/>
    <w:semiHidden/>
    <w:rsid w:val="008E342A"/>
    <w:rPr>
      <w:rFonts w:ascii="Times New Roman" w:eastAsia="Calibri" w:hAnsi="Times New Roman" w:cs="Times New Roman"/>
      <w:b/>
      <w:bCs/>
      <w:sz w:val="20"/>
      <w:szCs w:val="20"/>
      <w:lang w:eastAsia="zh-CN"/>
    </w:rPr>
  </w:style>
  <w:style w:type="paragraph" w:styleId="Besedilooblaka">
    <w:name w:val="Balloon Text"/>
    <w:basedOn w:val="Navaden"/>
    <w:link w:val="BesedilooblakaZnak"/>
    <w:uiPriority w:val="99"/>
    <w:semiHidden/>
    <w:unhideWhenUsed/>
    <w:rsid w:val="008E342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342A"/>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50741"/>
    <w:pPr>
      <w:spacing w:after="0" w:line="240" w:lineRule="auto"/>
    </w:pPr>
    <w:rPr>
      <w:rFonts w:ascii="Times New Roman" w:eastAsia="Calibri"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50741"/>
    <w:pPr>
      <w:tabs>
        <w:tab w:val="center" w:pos="4536"/>
        <w:tab w:val="right" w:pos="9072"/>
      </w:tabs>
    </w:pPr>
  </w:style>
  <w:style w:type="character" w:customStyle="1" w:styleId="GlavaZnak">
    <w:name w:val="Glava Znak"/>
    <w:basedOn w:val="Privzetapisavaodstavka"/>
    <w:link w:val="Glava"/>
    <w:uiPriority w:val="99"/>
    <w:rsid w:val="00950741"/>
    <w:rPr>
      <w:rFonts w:ascii="Times New Roman" w:eastAsia="Calibri" w:hAnsi="Times New Roman" w:cs="Times New Roman"/>
      <w:sz w:val="24"/>
      <w:szCs w:val="24"/>
      <w:lang w:eastAsia="zh-CN"/>
    </w:rPr>
  </w:style>
  <w:style w:type="paragraph" w:styleId="Noga">
    <w:name w:val="footer"/>
    <w:basedOn w:val="Navaden"/>
    <w:link w:val="NogaZnak"/>
    <w:uiPriority w:val="99"/>
    <w:unhideWhenUsed/>
    <w:rsid w:val="00950741"/>
    <w:pPr>
      <w:tabs>
        <w:tab w:val="center" w:pos="4536"/>
        <w:tab w:val="right" w:pos="9072"/>
      </w:tabs>
    </w:pPr>
  </w:style>
  <w:style w:type="character" w:customStyle="1" w:styleId="NogaZnak">
    <w:name w:val="Noga Znak"/>
    <w:basedOn w:val="Privzetapisavaodstavka"/>
    <w:link w:val="Noga"/>
    <w:uiPriority w:val="99"/>
    <w:rsid w:val="00950741"/>
    <w:rPr>
      <w:rFonts w:ascii="Times New Roman" w:eastAsia="Calibri" w:hAnsi="Times New Roman" w:cs="Times New Roman"/>
      <w:sz w:val="24"/>
      <w:szCs w:val="24"/>
      <w:lang w:eastAsia="zh-CN"/>
    </w:rPr>
  </w:style>
  <w:style w:type="character" w:styleId="Krepko">
    <w:name w:val="Strong"/>
    <w:uiPriority w:val="22"/>
    <w:qFormat/>
    <w:rsid w:val="00950741"/>
    <w:rPr>
      <w:b/>
      <w:bCs/>
    </w:rPr>
  </w:style>
  <w:style w:type="paragraph" w:styleId="Sprotnaopomba-besedilo">
    <w:name w:val="footnote text"/>
    <w:basedOn w:val="Navaden"/>
    <w:link w:val="Sprotnaopomba-besediloZnak"/>
    <w:uiPriority w:val="99"/>
    <w:unhideWhenUsed/>
    <w:rsid w:val="00950741"/>
    <w:rPr>
      <w:rFonts w:ascii="Calibri" w:hAnsi="Calibri"/>
      <w:sz w:val="20"/>
      <w:szCs w:val="20"/>
      <w:lang w:eastAsia="en-US"/>
    </w:rPr>
  </w:style>
  <w:style w:type="character" w:customStyle="1" w:styleId="Sprotnaopomba-besediloZnak">
    <w:name w:val="Sprotna opomba - besedilo Znak"/>
    <w:basedOn w:val="Privzetapisavaodstavka"/>
    <w:link w:val="Sprotnaopomba-besedilo"/>
    <w:uiPriority w:val="99"/>
    <w:rsid w:val="00950741"/>
    <w:rPr>
      <w:rFonts w:ascii="Calibri" w:eastAsia="Calibri" w:hAnsi="Calibri" w:cs="Times New Roman"/>
      <w:sz w:val="20"/>
      <w:szCs w:val="20"/>
    </w:rPr>
  </w:style>
  <w:style w:type="character" w:styleId="Sprotnaopomba-sklic">
    <w:name w:val="footnote reference"/>
    <w:uiPriority w:val="99"/>
    <w:unhideWhenUsed/>
    <w:rsid w:val="00950741"/>
    <w:rPr>
      <w:vertAlign w:val="superscript"/>
    </w:rPr>
  </w:style>
  <w:style w:type="paragraph" w:customStyle="1" w:styleId="PojasniloBodyText">
    <w:name w:val="Pojasnilo Body Text"/>
    <w:basedOn w:val="Navaden"/>
    <w:autoRedefine/>
    <w:rsid w:val="00950741"/>
    <w:pPr>
      <w:spacing w:line="276" w:lineRule="auto"/>
      <w:jc w:val="both"/>
    </w:pPr>
    <w:rPr>
      <w:rFonts w:ascii="Arial Narrow" w:hAnsi="Arial Narrow"/>
      <w:lang w:eastAsia="en-US"/>
    </w:rPr>
  </w:style>
  <w:style w:type="paragraph" w:customStyle="1" w:styleId="PojasniloList">
    <w:name w:val="Pojasnilo List"/>
    <w:basedOn w:val="Odstavekseznama"/>
    <w:rsid w:val="00950741"/>
    <w:pPr>
      <w:numPr>
        <w:numId w:val="1"/>
      </w:numPr>
      <w:tabs>
        <w:tab w:val="clear" w:pos="340"/>
        <w:tab w:val="num" w:pos="360"/>
      </w:tabs>
      <w:suppressAutoHyphens/>
      <w:spacing w:after="120" w:line="264" w:lineRule="auto"/>
      <w:ind w:left="720" w:firstLine="0"/>
      <w:jc w:val="both"/>
    </w:pPr>
    <w:rPr>
      <w:rFonts w:ascii="Calibri" w:eastAsia="ヒラギノ角ゴ Pro W3" w:hAnsi="Calibri" w:cs="Arial"/>
      <w:sz w:val="22"/>
      <w:lang w:val="en-US" w:eastAsia="ar-SA"/>
    </w:rPr>
  </w:style>
  <w:style w:type="paragraph" w:customStyle="1" w:styleId="BodyKPK">
    <w:name w:val="Body KPK"/>
    <w:rsid w:val="00950741"/>
    <w:pPr>
      <w:suppressAutoHyphens/>
      <w:spacing w:after="180" w:line="312" w:lineRule="auto"/>
    </w:pPr>
    <w:rPr>
      <w:rFonts w:ascii="Heiti SC Light" w:eastAsia="ヒラギノ角ゴ Pro W3" w:hAnsi="Heiti SC Light" w:cs="Times New Roman"/>
      <w:color w:val="000000"/>
      <w:sz w:val="18"/>
      <w:szCs w:val="20"/>
      <w:lang w:val="en-US" w:eastAsia="sl-SI"/>
    </w:rPr>
  </w:style>
  <w:style w:type="paragraph" w:styleId="Odstavekseznama">
    <w:name w:val="List Paragraph"/>
    <w:basedOn w:val="Navaden"/>
    <w:uiPriority w:val="34"/>
    <w:qFormat/>
    <w:rsid w:val="00950741"/>
    <w:pPr>
      <w:ind w:left="720"/>
      <w:contextualSpacing/>
    </w:pPr>
  </w:style>
  <w:style w:type="character" w:styleId="Pripombasklic">
    <w:name w:val="annotation reference"/>
    <w:basedOn w:val="Privzetapisavaodstavka"/>
    <w:uiPriority w:val="99"/>
    <w:semiHidden/>
    <w:unhideWhenUsed/>
    <w:rsid w:val="008E342A"/>
    <w:rPr>
      <w:sz w:val="16"/>
      <w:szCs w:val="16"/>
    </w:rPr>
  </w:style>
  <w:style w:type="paragraph" w:styleId="Pripombabesedilo">
    <w:name w:val="annotation text"/>
    <w:basedOn w:val="Navaden"/>
    <w:link w:val="PripombabesediloZnak"/>
    <w:uiPriority w:val="99"/>
    <w:semiHidden/>
    <w:unhideWhenUsed/>
    <w:rsid w:val="008E342A"/>
    <w:rPr>
      <w:sz w:val="20"/>
      <w:szCs w:val="20"/>
    </w:rPr>
  </w:style>
  <w:style w:type="character" w:customStyle="1" w:styleId="PripombabesediloZnak">
    <w:name w:val="Pripomba – besedilo Znak"/>
    <w:basedOn w:val="Privzetapisavaodstavka"/>
    <w:link w:val="Pripombabesedilo"/>
    <w:uiPriority w:val="99"/>
    <w:semiHidden/>
    <w:rsid w:val="008E342A"/>
    <w:rPr>
      <w:rFonts w:ascii="Times New Roman" w:eastAsia="Calibri" w:hAnsi="Times New Roman" w:cs="Times New Roman"/>
      <w:sz w:val="20"/>
      <w:szCs w:val="20"/>
      <w:lang w:eastAsia="zh-CN"/>
    </w:rPr>
  </w:style>
  <w:style w:type="paragraph" w:styleId="Zadevapripombe">
    <w:name w:val="annotation subject"/>
    <w:basedOn w:val="Pripombabesedilo"/>
    <w:next w:val="Pripombabesedilo"/>
    <w:link w:val="ZadevapripombeZnak"/>
    <w:uiPriority w:val="99"/>
    <w:semiHidden/>
    <w:unhideWhenUsed/>
    <w:rsid w:val="008E342A"/>
    <w:rPr>
      <w:b/>
      <w:bCs/>
    </w:rPr>
  </w:style>
  <w:style w:type="character" w:customStyle="1" w:styleId="ZadevapripombeZnak">
    <w:name w:val="Zadeva pripombe Znak"/>
    <w:basedOn w:val="PripombabesediloZnak"/>
    <w:link w:val="Zadevapripombe"/>
    <w:uiPriority w:val="99"/>
    <w:semiHidden/>
    <w:rsid w:val="008E342A"/>
    <w:rPr>
      <w:rFonts w:ascii="Times New Roman" w:eastAsia="Calibri" w:hAnsi="Times New Roman" w:cs="Times New Roman"/>
      <w:b/>
      <w:bCs/>
      <w:sz w:val="20"/>
      <w:szCs w:val="20"/>
      <w:lang w:eastAsia="zh-CN"/>
    </w:rPr>
  </w:style>
  <w:style w:type="paragraph" w:styleId="Besedilooblaka">
    <w:name w:val="Balloon Text"/>
    <w:basedOn w:val="Navaden"/>
    <w:link w:val="BesedilooblakaZnak"/>
    <w:uiPriority w:val="99"/>
    <w:semiHidden/>
    <w:unhideWhenUsed/>
    <w:rsid w:val="008E342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342A"/>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3576</Words>
  <Characters>20387</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DELO d.d.</Company>
  <LinksUpToDate>false</LinksUpToDate>
  <CharactersWithSpaces>23916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Mihelic</dc:creator>
  <cp:lastModifiedBy>Nina Marolt</cp:lastModifiedBy>
  <cp:revision>2</cp:revision>
  <dcterms:created xsi:type="dcterms:W3CDTF">2018-12-12T09:54:00Z</dcterms:created>
  <dcterms:modified xsi:type="dcterms:W3CDTF">2018-12-12T09:54:00Z</dcterms:modified>
</cp:coreProperties>
</file>